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4A" w:rsidRDefault="009A4EB0">
      <w:pPr>
        <w:spacing w:after="178"/>
        <w:ind w:left="-5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02400" cy="11176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4A" w:rsidRDefault="009A4EB0">
      <w:pPr>
        <w:spacing w:after="102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/>
        <w:ind w:left="660"/>
      </w:pPr>
      <w:proofErr w:type="spellStart"/>
      <w:r>
        <w:rPr>
          <w:rFonts w:ascii="Arial" w:eastAsia="Arial" w:hAnsi="Arial" w:cs="Arial"/>
          <w:b/>
          <w:sz w:val="40"/>
        </w:rPr>
        <w:t>Tougher</w:t>
      </w:r>
      <w:proofErr w:type="spellEnd"/>
      <w:r>
        <w:rPr>
          <w:rFonts w:ascii="Arial" w:eastAsia="Arial" w:hAnsi="Arial" w:cs="Arial"/>
          <w:b/>
          <w:sz w:val="40"/>
        </w:rPr>
        <w:t xml:space="preserve"> food </w:t>
      </w:r>
      <w:proofErr w:type="spellStart"/>
      <w:r>
        <w:rPr>
          <w:rFonts w:ascii="Arial" w:eastAsia="Arial" w:hAnsi="Arial" w:cs="Arial"/>
          <w:b/>
          <w:sz w:val="40"/>
        </w:rPr>
        <w:t>inspections</w:t>
      </w:r>
      <w:proofErr w:type="spellEnd"/>
      <w:r>
        <w:rPr>
          <w:rFonts w:ascii="Arial" w:eastAsia="Arial" w:hAnsi="Arial" w:cs="Arial"/>
          <w:b/>
          <w:sz w:val="40"/>
        </w:rPr>
        <w:t xml:space="preserve"> from farm to </w:t>
      </w:r>
      <w:proofErr w:type="spellStart"/>
      <w:r>
        <w:rPr>
          <w:rFonts w:ascii="Arial" w:eastAsia="Arial" w:hAnsi="Arial" w:cs="Arial"/>
          <w:b/>
          <w:sz w:val="40"/>
        </w:rPr>
        <w:t>fork</w:t>
      </w:r>
      <w:proofErr w:type="spellEnd"/>
    </w:p>
    <w:p w:rsidR="00CB164A" w:rsidRDefault="009A4EB0">
      <w:pPr>
        <w:spacing w:after="152"/>
        <w:ind w:left="660"/>
      </w:pPr>
      <w:proofErr w:type="spellStart"/>
      <w:r>
        <w:rPr>
          <w:rFonts w:ascii="Arial" w:eastAsia="Arial" w:hAnsi="Arial" w:cs="Arial"/>
          <w:sz w:val="20"/>
        </w:rPr>
        <w:t>Plenary</w:t>
      </w:r>
      <w:proofErr w:type="spellEnd"/>
      <w:r>
        <w:rPr>
          <w:rFonts w:ascii="Arial" w:eastAsia="Arial" w:hAnsi="Arial" w:cs="Arial"/>
          <w:sz w:val="20"/>
        </w:rPr>
        <w:t xml:space="preserve"> sessions [15-03-2017 - 12:34]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/>
        <w:ind w:left="655" w:right="293" w:hanging="10"/>
        <w:jc w:val="both"/>
      </w:pPr>
      <w:proofErr w:type="spellStart"/>
      <w:r>
        <w:rPr>
          <w:rFonts w:ascii="Arial" w:eastAsia="Arial" w:hAnsi="Arial" w:cs="Arial"/>
          <w:b/>
        </w:rPr>
        <w:t>Plans</w:t>
      </w:r>
      <w:proofErr w:type="spellEnd"/>
      <w:r>
        <w:rPr>
          <w:rFonts w:ascii="Arial" w:eastAsia="Arial" w:hAnsi="Arial" w:cs="Arial"/>
          <w:b/>
        </w:rPr>
        <w:t xml:space="preserve"> to </w:t>
      </w:r>
      <w:proofErr w:type="spellStart"/>
      <w:r>
        <w:rPr>
          <w:rFonts w:ascii="Arial" w:eastAsia="Arial" w:hAnsi="Arial" w:cs="Arial"/>
          <w:b/>
        </w:rPr>
        <w:t>tighten</w:t>
      </w:r>
      <w:proofErr w:type="spellEnd"/>
      <w:r>
        <w:rPr>
          <w:rFonts w:ascii="Arial" w:eastAsia="Arial" w:hAnsi="Arial" w:cs="Arial"/>
          <w:b/>
        </w:rPr>
        <w:t xml:space="preserve"> up </w:t>
      </w:r>
      <w:proofErr w:type="spellStart"/>
      <w:r>
        <w:rPr>
          <w:rFonts w:ascii="Arial" w:eastAsia="Arial" w:hAnsi="Arial" w:cs="Arial"/>
          <w:b/>
        </w:rPr>
        <w:t>official</w:t>
      </w:r>
      <w:proofErr w:type="spellEnd"/>
      <w:r>
        <w:rPr>
          <w:rFonts w:ascii="Arial" w:eastAsia="Arial" w:hAnsi="Arial" w:cs="Arial"/>
          <w:b/>
        </w:rPr>
        <w:t xml:space="preserve"> food </w:t>
      </w:r>
      <w:proofErr w:type="spellStart"/>
      <w:r>
        <w:rPr>
          <w:rFonts w:ascii="Arial" w:eastAsia="Arial" w:hAnsi="Arial" w:cs="Arial"/>
          <w:b/>
        </w:rPr>
        <w:t>inspections</w:t>
      </w:r>
      <w:proofErr w:type="spellEnd"/>
      <w:r>
        <w:rPr>
          <w:rFonts w:ascii="Arial" w:eastAsia="Arial" w:hAnsi="Arial" w:cs="Arial"/>
          <w:b/>
        </w:rPr>
        <w:t xml:space="preserve">, from farm to </w:t>
      </w:r>
      <w:proofErr w:type="spellStart"/>
      <w:r>
        <w:rPr>
          <w:rFonts w:ascii="Arial" w:eastAsia="Arial" w:hAnsi="Arial" w:cs="Arial"/>
          <w:b/>
        </w:rPr>
        <w:t>fork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were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adopted</w:t>
      </w:r>
      <w:proofErr w:type="spellEnd"/>
      <w:r>
        <w:rPr>
          <w:rFonts w:ascii="Arial" w:eastAsia="Arial" w:hAnsi="Arial" w:cs="Arial"/>
          <w:b/>
        </w:rPr>
        <w:t xml:space="preserve"> by </w:t>
      </w:r>
      <w:proofErr w:type="spellStart"/>
      <w:r>
        <w:rPr>
          <w:rFonts w:ascii="Arial" w:eastAsia="Arial" w:hAnsi="Arial" w:cs="Arial"/>
          <w:b/>
        </w:rPr>
        <w:t>Parliament</w:t>
      </w:r>
      <w:proofErr w:type="spellEnd"/>
      <w:r>
        <w:rPr>
          <w:rFonts w:ascii="Arial" w:eastAsia="Arial" w:hAnsi="Arial" w:cs="Arial"/>
          <w:b/>
        </w:rPr>
        <w:t xml:space="preserve"> on Wednesday. The new </w:t>
      </w:r>
      <w:proofErr w:type="spellStart"/>
      <w:r>
        <w:rPr>
          <w:rFonts w:ascii="Arial" w:eastAsia="Arial" w:hAnsi="Arial" w:cs="Arial"/>
          <w:b/>
        </w:rPr>
        <w:t>rules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already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informally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agreed</w:t>
      </w:r>
      <w:proofErr w:type="spellEnd"/>
      <w:r>
        <w:rPr>
          <w:rFonts w:ascii="Arial" w:eastAsia="Arial" w:hAnsi="Arial" w:cs="Arial"/>
          <w:b/>
        </w:rPr>
        <w:t xml:space="preserve"> by </w:t>
      </w:r>
      <w:proofErr w:type="spellStart"/>
      <w:r>
        <w:rPr>
          <w:rFonts w:ascii="Arial" w:eastAsia="Arial" w:hAnsi="Arial" w:cs="Arial"/>
          <w:b/>
        </w:rPr>
        <w:t>MEPs</w:t>
      </w:r>
      <w:proofErr w:type="spellEnd"/>
      <w:r>
        <w:rPr>
          <w:rFonts w:ascii="Arial" w:eastAsia="Arial" w:hAnsi="Arial" w:cs="Arial"/>
          <w:b/>
        </w:rPr>
        <w:t xml:space="preserve"> and the </w:t>
      </w:r>
      <w:proofErr w:type="spellStart"/>
      <w:r>
        <w:rPr>
          <w:rFonts w:ascii="Arial" w:eastAsia="Arial" w:hAnsi="Arial" w:cs="Arial"/>
          <w:b/>
        </w:rPr>
        <w:t>Council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aims</w:t>
      </w:r>
      <w:proofErr w:type="spellEnd"/>
      <w:r>
        <w:rPr>
          <w:rFonts w:ascii="Arial" w:eastAsia="Arial" w:hAnsi="Arial" w:cs="Arial"/>
          <w:b/>
        </w:rPr>
        <w:t xml:space="preserve"> to </w:t>
      </w:r>
      <w:proofErr w:type="spellStart"/>
      <w:r>
        <w:rPr>
          <w:rFonts w:ascii="Arial" w:eastAsia="Arial" w:hAnsi="Arial" w:cs="Arial"/>
          <w:b/>
        </w:rPr>
        <w:t>improve</w:t>
      </w:r>
      <w:proofErr w:type="spellEnd"/>
      <w:r>
        <w:rPr>
          <w:rFonts w:ascii="Arial" w:eastAsia="Arial" w:hAnsi="Arial" w:cs="Arial"/>
          <w:b/>
        </w:rPr>
        <w:t xml:space="preserve"> food </w:t>
      </w:r>
      <w:proofErr w:type="spellStart"/>
      <w:r>
        <w:rPr>
          <w:rFonts w:ascii="Arial" w:eastAsia="Arial" w:hAnsi="Arial" w:cs="Arial"/>
          <w:b/>
        </w:rPr>
        <w:t>traceability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combat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fraud</w:t>
      </w:r>
      <w:proofErr w:type="spellEnd"/>
      <w:r>
        <w:rPr>
          <w:rFonts w:ascii="Arial" w:eastAsia="Arial" w:hAnsi="Arial" w:cs="Arial"/>
          <w:b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restore</w:t>
      </w:r>
      <w:proofErr w:type="spellEnd"/>
      <w:r>
        <w:rPr>
          <w:rFonts w:ascii="Arial" w:eastAsia="Arial" w:hAnsi="Arial" w:cs="Arial"/>
          <w:b/>
        </w:rPr>
        <w:t xml:space="preserve"> consumer trust in the </w:t>
      </w:r>
      <w:proofErr w:type="spellStart"/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ntegrity</w:t>
      </w:r>
      <w:proofErr w:type="spellEnd"/>
      <w:r>
        <w:rPr>
          <w:rFonts w:ascii="Arial" w:eastAsia="Arial" w:hAnsi="Arial" w:cs="Arial"/>
          <w:b/>
        </w:rPr>
        <w:t xml:space="preserve"> of the food </w:t>
      </w:r>
      <w:proofErr w:type="spellStart"/>
      <w:r>
        <w:rPr>
          <w:rFonts w:ascii="Arial" w:eastAsia="Arial" w:hAnsi="Arial" w:cs="Arial"/>
          <w:b/>
        </w:rPr>
        <w:t>chain</w:t>
      </w:r>
      <w:proofErr w:type="spellEnd"/>
      <w:r>
        <w:rPr>
          <w:rFonts w:ascii="Arial" w:eastAsia="Arial" w:hAnsi="Arial" w:cs="Arial"/>
          <w:b/>
        </w:rPr>
        <w:t>.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legislation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comprehensive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integrated</w:t>
      </w:r>
      <w:proofErr w:type="spellEnd"/>
      <w:r>
        <w:rPr>
          <w:rFonts w:ascii="Arial" w:eastAsia="Arial" w:hAnsi="Arial" w:cs="Arial"/>
        </w:rPr>
        <w:t xml:space="preserve"> and more </w:t>
      </w:r>
      <w:proofErr w:type="spellStart"/>
      <w:r>
        <w:rPr>
          <w:rFonts w:ascii="Arial" w:eastAsia="Arial" w:hAnsi="Arial" w:cs="Arial"/>
        </w:rPr>
        <w:t>effective</w:t>
      </w:r>
      <w:proofErr w:type="spellEnd"/>
      <w:r>
        <w:rPr>
          <w:rFonts w:ascii="Arial" w:eastAsia="Arial" w:hAnsi="Arial" w:cs="Arial"/>
        </w:rPr>
        <w:t xml:space="preserve"> control system in the </w:t>
      </w:r>
      <w:proofErr w:type="spellStart"/>
      <w:r>
        <w:rPr>
          <w:rFonts w:ascii="Arial" w:eastAsia="Arial" w:hAnsi="Arial" w:cs="Arial"/>
        </w:rPr>
        <w:t>areas</w:t>
      </w:r>
      <w:proofErr w:type="spellEnd"/>
      <w:r>
        <w:rPr>
          <w:rFonts w:ascii="Arial" w:eastAsia="Arial" w:hAnsi="Arial" w:cs="Arial"/>
        </w:rPr>
        <w:t xml:space="preserve"> of food and feed </w:t>
      </w:r>
      <w:proofErr w:type="spellStart"/>
      <w:r>
        <w:rPr>
          <w:rFonts w:ascii="Arial" w:eastAsia="Arial" w:hAnsi="Arial" w:cs="Arial"/>
        </w:rPr>
        <w:t>safety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rules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veterinary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plant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health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requirements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organic</w:t>
      </w:r>
      <w:proofErr w:type="spellEnd"/>
      <w:r>
        <w:rPr>
          <w:rFonts w:ascii="Arial" w:eastAsia="Arial" w:hAnsi="Arial" w:cs="Arial"/>
        </w:rPr>
        <w:t xml:space="preserve"> production and </w:t>
      </w:r>
      <w:proofErr w:type="spellStart"/>
      <w:r>
        <w:rPr>
          <w:rFonts w:ascii="Arial" w:eastAsia="Arial" w:hAnsi="Arial" w:cs="Arial"/>
        </w:rPr>
        <w:t>protected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geographical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</w:rPr>
        <w:t>ication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rules</w:t>
      </w:r>
      <w:proofErr w:type="spellEnd"/>
      <w:r>
        <w:rPr>
          <w:rFonts w:ascii="Arial" w:eastAsia="Arial" w:hAnsi="Arial" w:cs="Arial"/>
        </w:rPr>
        <w:t>.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>“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horse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scandal</w:t>
      </w:r>
      <w:proofErr w:type="spellEnd"/>
      <w:r>
        <w:rPr>
          <w:rFonts w:ascii="Arial" w:eastAsia="Arial" w:hAnsi="Arial" w:cs="Arial"/>
        </w:rPr>
        <w:t xml:space="preserve">, consumers </w:t>
      </w:r>
      <w:proofErr w:type="spellStart"/>
      <w:r>
        <w:rPr>
          <w:rFonts w:ascii="Arial" w:eastAsia="Arial" w:hAnsi="Arial" w:cs="Arial"/>
        </w:rPr>
        <w:t>had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serious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questions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about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traceability</w:t>
      </w:r>
      <w:proofErr w:type="spellEnd"/>
      <w:r>
        <w:rPr>
          <w:rFonts w:ascii="Arial" w:eastAsia="Arial" w:hAnsi="Arial" w:cs="Arial"/>
        </w:rPr>
        <w:t xml:space="preserve"> of food, and the </w:t>
      </w:r>
      <w:proofErr w:type="spellStart"/>
      <w:r>
        <w:rPr>
          <w:rFonts w:ascii="Arial" w:eastAsia="Arial" w:hAnsi="Arial" w:cs="Arial"/>
        </w:rPr>
        <w:t>integrity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meat</w:t>
      </w:r>
      <w:proofErr w:type="spellEnd"/>
      <w:r>
        <w:rPr>
          <w:rFonts w:ascii="Arial" w:eastAsia="Arial" w:hAnsi="Arial" w:cs="Arial"/>
        </w:rPr>
        <w:t xml:space="preserve"> supply </w:t>
      </w:r>
      <w:proofErr w:type="spellStart"/>
      <w:r>
        <w:rPr>
          <w:rFonts w:ascii="Arial" w:eastAsia="Arial" w:hAnsi="Arial" w:cs="Arial"/>
        </w:rPr>
        <w:t>chain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European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Parliament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strove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concerns</w:t>
      </w:r>
      <w:proofErr w:type="spellEnd"/>
      <w:r>
        <w:rPr>
          <w:rFonts w:ascii="Arial" w:eastAsia="Arial" w:hAnsi="Arial" w:cs="Arial"/>
        </w:rPr>
        <w:t xml:space="preserve"> and to end up with a text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allows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compe</w:t>
      </w:r>
      <w:r>
        <w:rPr>
          <w:rFonts w:ascii="Arial" w:eastAsia="Arial" w:hAnsi="Arial" w:cs="Arial"/>
        </w:rPr>
        <w:t>tent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authorities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effectively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combat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fraudulent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practices</w:t>
      </w:r>
      <w:proofErr w:type="spellEnd"/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</w:rPr>
        <w:t>said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rapporteur</w:t>
      </w:r>
      <w:proofErr w:type="spellEnd"/>
      <w:r>
        <w:rPr>
          <w:rFonts w:ascii="Arial" w:eastAsia="Arial" w:hAnsi="Arial" w:cs="Arial"/>
        </w:rPr>
        <w:t xml:space="preserve"> Karin </w:t>
      </w:r>
      <w:proofErr w:type="spellStart"/>
      <w:r>
        <w:rPr>
          <w:rFonts w:ascii="Arial" w:eastAsia="Arial" w:hAnsi="Arial" w:cs="Arial"/>
        </w:rPr>
        <w:t>Kadenbach</w:t>
      </w:r>
      <w:proofErr w:type="spellEnd"/>
      <w:r>
        <w:rPr>
          <w:rFonts w:ascii="Arial" w:eastAsia="Arial" w:hAnsi="Arial" w:cs="Arial"/>
        </w:rPr>
        <w:t xml:space="preserve"> (S&amp;D, AT).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“I 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proud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Parliament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managed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chapter</w:t>
      </w:r>
      <w:proofErr w:type="spellEnd"/>
      <w:r>
        <w:rPr>
          <w:rFonts w:ascii="Arial" w:eastAsia="Arial" w:hAnsi="Arial" w:cs="Arial"/>
        </w:rPr>
        <w:t xml:space="preserve"> on enforcement </w:t>
      </w:r>
      <w:proofErr w:type="spellStart"/>
      <w:r>
        <w:rPr>
          <w:rFonts w:ascii="Arial" w:eastAsia="Arial" w:hAnsi="Arial" w:cs="Arial"/>
        </w:rPr>
        <w:t>strengthened</w:t>
      </w:r>
      <w:proofErr w:type="spellEnd"/>
      <w:r>
        <w:rPr>
          <w:rFonts w:ascii="Arial" w:eastAsia="Arial" w:hAnsi="Arial" w:cs="Arial"/>
        </w:rPr>
        <w:t xml:space="preserve">, in </w:t>
      </w:r>
      <w:proofErr w:type="spellStart"/>
      <w:r>
        <w:rPr>
          <w:rFonts w:ascii="Arial" w:eastAsia="Arial" w:hAnsi="Arial" w:cs="Arial"/>
        </w:rPr>
        <w:t>particular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regarding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penalties</w:t>
      </w:r>
      <w:proofErr w:type="spellEnd"/>
      <w:r>
        <w:rPr>
          <w:rFonts w:ascii="Arial" w:eastAsia="Arial" w:hAnsi="Arial" w:cs="Arial"/>
        </w:rPr>
        <w:t xml:space="preserve"> to be </w:t>
      </w:r>
      <w:proofErr w:type="spellStart"/>
      <w:r>
        <w:rPr>
          <w:rFonts w:ascii="Arial" w:eastAsia="Arial" w:hAnsi="Arial" w:cs="Arial"/>
        </w:rPr>
        <w:t>applied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vent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intentional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violations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rules</w:t>
      </w:r>
      <w:proofErr w:type="spellEnd"/>
      <w:r>
        <w:rPr>
          <w:rFonts w:ascii="Arial" w:eastAsia="Arial" w:hAnsi="Arial" w:cs="Arial"/>
        </w:rPr>
        <w:t xml:space="preserve">. I trust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deterrent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penalties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be a </w:t>
      </w:r>
      <w:proofErr w:type="spellStart"/>
      <w:r>
        <w:rPr>
          <w:rFonts w:ascii="Arial" w:eastAsia="Arial" w:hAnsi="Arial" w:cs="Arial"/>
        </w:rPr>
        <w:t>key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tool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combat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fraud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every</w:t>
      </w:r>
      <w:proofErr w:type="spellEnd"/>
      <w:r>
        <w:rPr>
          <w:rFonts w:ascii="Arial" w:eastAsia="Arial" w:hAnsi="Arial" w:cs="Arial"/>
        </w:rPr>
        <w:t xml:space="preserve"> area” </w:t>
      </w:r>
      <w:proofErr w:type="spellStart"/>
      <w:r>
        <w:rPr>
          <w:rFonts w:ascii="Arial" w:eastAsia="Arial" w:hAnsi="Arial" w:cs="Arial"/>
        </w:rPr>
        <w:t>she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added</w:t>
      </w:r>
      <w:proofErr w:type="spellEnd"/>
      <w:r>
        <w:rPr>
          <w:rFonts w:ascii="Arial" w:eastAsia="Arial" w:hAnsi="Arial" w:cs="Arial"/>
        </w:rPr>
        <w:t>.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agreement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negotiated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between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MEPs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Council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Ministers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provides</w:t>
      </w:r>
      <w:proofErr w:type="spellEnd"/>
      <w:r>
        <w:rPr>
          <w:rFonts w:ascii="Arial" w:eastAsia="Arial" w:hAnsi="Arial" w:cs="Arial"/>
        </w:rPr>
        <w:t xml:space="preserve"> for: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numPr>
          <w:ilvl w:val="0"/>
          <w:numId w:val="1"/>
        </w:numPr>
        <w:spacing w:after="0" w:line="265" w:lineRule="auto"/>
        <w:ind w:right="293" w:hanging="151"/>
        <w:jc w:val="both"/>
      </w:pP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comprehensive</w:t>
      </w:r>
      <w:proofErr w:type="spellEnd"/>
      <w:r>
        <w:rPr>
          <w:rFonts w:ascii="Arial" w:eastAsia="Arial" w:hAnsi="Arial" w:cs="Arial"/>
        </w:rPr>
        <w:t xml:space="preserve"> scope, </w:t>
      </w:r>
      <w:proofErr w:type="spellStart"/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>compassing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whole</w:t>
      </w:r>
      <w:proofErr w:type="spellEnd"/>
      <w:r>
        <w:rPr>
          <w:rFonts w:ascii="Arial" w:eastAsia="Arial" w:hAnsi="Arial" w:cs="Arial"/>
        </w:rPr>
        <w:t xml:space="preserve"> agri-food </w:t>
      </w:r>
      <w:proofErr w:type="spellStart"/>
      <w:r>
        <w:rPr>
          <w:rFonts w:ascii="Arial" w:eastAsia="Arial" w:hAnsi="Arial" w:cs="Arial"/>
        </w:rPr>
        <w:t>chain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controls</w:t>
      </w:r>
      <w:proofErr w:type="spellEnd"/>
      <w:r>
        <w:rPr>
          <w:rFonts w:ascii="Arial" w:eastAsia="Arial" w:hAnsi="Arial" w:cs="Arial"/>
        </w:rPr>
        <w:t xml:space="preserve"> on food, feed, </w:t>
      </w:r>
      <w:proofErr w:type="spellStart"/>
      <w:r>
        <w:rPr>
          <w:rFonts w:ascii="Arial" w:eastAsia="Arial" w:hAnsi="Arial" w:cs="Arial"/>
        </w:rPr>
        <w:t>plant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health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pesticides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animal</w:t>
      </w:r>
      <w:proofErr w:type="spellEnd"/>
      <w:r>
        <w:rPr>
          <w:rFonts w:ascii="Arial" w:eastAsia="Arial" w:hAnsi="Arial" w:cs="Arial"/>
        </w:rPr>
        <w:t xml:space="preserve"> welfare, </w:t>
      </w:r>
      <w:proofErr w:type="spellStart"/>
      <w:r>
        <w:rPr>
          <w:rFonts w:ascii="Arial" w:eastAsia="Arial" w:hAnsi="Arial" w:cs="Arial"/>
        </w:rPr>
        <w:t>geographical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indications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organic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farming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numPr>
          <w:ilvl w:val="0"/>
          <w:numId w:val="1"/>
        </w:numPr>
        <w:spacing w:after="0" w:line="265" w:lineRule="auto"/>
        <w:ind w:right="293" w:hanging="151"/>
        <w:jc w:val="both"/>
      </w:pPr>
      <w:proofErr w:type="spellStart"/>
      <w:r>
        <w:rPr>
          <w:rFonts w:ascii="Arial" w:eastAsia="Arial" w:hAnsi="Arial" w:cs="Arial"/>
        </w:rPr>
        <w:t>unannounced</w:t>
      </w:r>
      <w:proofErr w:type="spellEnd"/>
      <w:r>
        <w:rPr>
          <w:rFonts w:ascii="Arial" w:eastAsia="Arial" w:hAnsi="Arial" w:cs="Arial"/>
        </w:rPr>
        <w:t>, risk-</w:t>
      </w:r>
      <w:proofErr w:type="spellStart"/>
      <w:r>
        <w:rPr>
          <w:rFonts w:ascii="Arial" w:eastAsia="Arial" w:hAnsi="Arial" w:cs="Arial"/>
        </w:rPr>
        <w:t>based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controls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sectors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numPr>
          <w:ilvl w:val="0"/>
          <w:numId w:val="1"/>
        </w:numPr>
        <w:spacing w:after="0" w:line="265" w:lineRule="auto"/>
        <w:ind w:right="293" w:hanging="151"/>
        <w:jc w:val="both"/>
      </w:pPr>
      <w:proofErr w:type="spellStart"/>
      <w:r>
        <w:rPr>
          <w:rFonts w:ascii="Arial" w:eastAsia="Arial" w:hAnsi="Arial" w:cs="Arial"/>
        </w:rPr>
        <w:t>better</w:t>
      </w:r>
      <w:proofErr w:type="spellEnd"/>
      <w:r>
        <w:rPr>
          <w:rFonts w:ascii="Arial" w:eastAsia="Arial" w:hAnsi="Arial" w:cs="Arial"/>
        </w:rPr>
        <w:t xml:space="preserve"> enforcement </w:t>
      </w:r>
      <w:proofErr w:type="spellStart"/>
      <w:r>
        <w:rPr>
          <w:rFonts w:ascii="Arial" w:eastAsia="Arial" w:hAnsi="Arial" w:cs="Arial"/>
        </w:rPr>
        <w:t>against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fraudulent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deceptive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practic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numPr>
          <w:ilvl w:val="0"/>
          <w:numId w:val="1"/>
        </w:numPr>
        <w:spacing w:after="0" w:line="265" w:lineRule="auto"/>
        <w:ind w:right="293" w:hanging="1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233809</wp:posOffset>
                </wp:positionH>
                <wp:positionV relativeFrom="page">
                  <wp:posOffset>2222424</wp:posOffset>
                </wp:positionV>
                <wp:extent cx="510778" cy="2947111"/>
                <wp:effectExtent l="0" t="0" r="0" b="0"/>
                <wp:wrapSquare wrapText="bothSides"/>
                <wp:docPr id="1854" name="Group 1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778" cy="2947111"/>
                          <a:chOff x="0" y="0"/>
                          <a:chExt cx="510778" cy="2947111"/>
                        </a:xfrm>
                      </wpg:grpSpPr>
                      <wps:wsp>
                        <wps:cNvPr id="6" name="Rectangle 6"/>
                        <wps:cNvSpPr/>
                        <wps:spPr>
                          <a:xfrm rot="-5399999">
                            <a:off x="-1620160" y="647615"/>
                            <a:ext cx="3919658" cy="679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164A" w:rsidRDefault="009A4EB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685B3"/>
                                  <w:sz w:val="72"/>
                                </w:rPr>
                                <w:t>Press release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4" style="width:40.2188pt;height:232.056pt;position:absolute;mso-position-horizontal-relative:page;mso-position-horizontal:absolute;margin-left:18.4102pt;mso-position-vertical-relative:page;margin-top:174.994pt;" coordsize="5107,29471">
                <v:rect id="Rectangle 6" style="position:absolute;width:39196;height:6793;left:-16201;top:647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6685b3"/>
                            <w:sz w:val="72"/>
                          </w:rPr>
                          <w:t xml:space="preserve">Press release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import </w:t>
      </w:r>
      <w:proofErr w:type="spellStart"/>
      <w:r>
        <w:rPr>
          <w:rFonts w:ascii="Arial" w:eastAsia="Arial" w:hAnsi="Arial" w:cs="Arial"/>
        </w:rPr>
        <w:t>conditions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animals</w:t>
      </w:r>
      <w:proofErr w:type="spellEnd"/>
      <w:r>
        <w:rPr>
          <w:rFonts w:ascii="Arial" w:eastAsia="Arial" w:hAnsi="Arial" w:cs="Arial"/>
        </w:rPr>
        <w:t xml:space="preserve"> and products </w:t>
      </w:r>
      <w:proofErr w:type="spellStart"/>
      <w:r>
        <w:rPr>
          <w:rFonts w:ascii="Arial" w:eastAsia="Arial" w:hAnsi="Arial" w:cs="Arial"/>
        </w:rPr>
        <w:t>imported</w:t>
      </w:r>
      <w:proofErr w:type="spellEnd"/>
      <w:r>
        <w:rPr>
          <w:rFonts w:ascii="Arial" w:eastAsia="Arial" w:hAnsi="Arial" w:cs="Arial"/>
        </w:rPr>
        <w:t xml:space="preserve"> from </w:t>
      </w:r>
      <w:proofErr w:type="spellStart"/>
      <w:r>
        <w:rPr>
          <w:rFonts w:ascii="Arial" w:eastAsia="Arial" w:hAnsi="Arial" w:cs="Arial"/>
        </w:rPr>
        <w:t>third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countries</w:t>
      </w:r>
      <w:proofErr w:type="spellEnd"/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numPr>
          <w:ilvl w:val="0"/>
          <w:numId w:val="1"/>
        </w:numPr>
        <w:spacing w:after="0" w:line="265" w:lineRule="auto"/>
        <w:ind w:right="293" w:hanging="151"/>
        <w:jc w:val="both"/>
      </w:pPr>
      <w:proofErr w:type="spellStart"/>
      <w:r>
        <w:rPr>
          <w:rFonts w:ascii="Arial" w:eastAsia="Arial" w:hAnsi="Arial" w:cs="Arial"/>
        </w:rPr>
        <w:t>European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controls</w:t>
      </w:r>
      <w:proofErr w:type="spellEnd"/>
      <w:r>
        <w:rPr>
          <w:rFonts w:ascii="Arial" w:eastAsia="Arial" w:hAnsi="Arial" w:cs="Arial"/>
        </w:rPr>
        <w:t xml:space="preserve"> in EU </w:t>
      </w:r>
      <w:proofErr w:type="spellStart"/>
      <w:r>
        <w:rPr>
          <w:rFonts w:ascii="Arial" w:eastAsia="Arial" w:hAnsi="Arial" w:cs="Arial"/>
        </w:rPr>
        <w:t>member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states</w:t>
      </w:r>
      <w:proofErr w:type="spellEnd"/>
      <w:r>
        <w:rPr>
          <w:rFonts w:ascii="Arial" w:eastAsia="Arial" w:hAnsi="Arial" w:cs="Arial"/>
        </w:rPr>
        <w:t xml:space="preserve"> and in </w:t>
      </w:r>
      <w:proofErr w:type="spellStart"/>
      <w:r>
        <w:rPr>
          <w:rFonts w:ascii="Arial" w:eastAsia="Arial" w:hAnsi="Arial" w:cs="Arial"/>
        </w:rPr>
        <w:t>third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countries</w:t>
      </w:r>
      <w:proofErr w:type="spellEnd"/>
      <w:r>
        <w:rPr>
          <w:rFonts w:ascii="Arial" w:eastAsia="Arial" w:hAnsi="Arial" w:cs="Arial"/>
        </w:rPr>
        <w:t>.</w:t>
      </w:r>
    </w:p>
    <w:p w:rsidR="00CB164A" w:rsidRDefault="009A4EB0">
      <w:pPr>
        <w:spacing w:after="0"/>
        <w:ind w:left="1211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16" w:lineRule="auto"/>
        <w:ind w:left="660" w:right="9061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40" w:line="216" w:lineRule="auto"/>
        <w:ind w:left="655" w:right="293" w:hanging="10"/>
        <w:jc w:val="both"/>
      </w:pPr>
      <w:r>
        <w:rPr>
          <w:rFonts w:ascii="Arial" w:eastAsia="Arial" w:hAnsi="Arial" w:cs="Arial"/>
          <w:i/>
        </w:rPr>
        <w:t xml:space="preserve">Note to </w:t>
      </w:r>
      <w:proofErr w:type="spellStart"/>
      <w:r>
        <w:rPr>
          <w:rFonts w:ascii="Arial" w:eastAsia="Arial" w:hAnsi="Arial" w:cs="Arial"/>
          <w:i/>
        </w:rPr>
        <w:t>editors</w:t>
      </w:r>
      <w:proofErr w:type="spellEnd"/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16" w:lineRule="auto"/>
        <w:ind w:left="660" w:right="9061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16" w:lineRule="auto"/>
        <w:ind w:left="655" w:right="293" w:hanging="10"/>
        <w:jc w:val="both"/>
      </w:pPr>
      <w:proofErr w:type="spellStart"/>
      <w:r>
        <w:rPr>
          <w:rFonts w:ascii="Arial" w:eastAsia="Arial" w:hAnsi="Arial" w:cs="Arial"/>
          <w:i/>
        </w:rPr>
        <w:t>Recent</w:t>
      </w:r>
      <w:proofErr w:type="spellEnd"/>
      <w:r>
        <w:rPr>
          <w:rFonts w:ascii="Arial" w:eastAsia="Arial" w:hAnsi="Arial" w:cs="Arial"/>
          <w:i/>
        </w:rPr>
        <w:t xml:space="preserve"> food </w:t>
      </w:r>
      <w:proofErr w:type="spellStart"/>
      <w:r>
        <w:rPr>
          <w:rFonts w:ascii="Arial" w:eastAsia="Arial" w:hAnsi="Arial" w:cs="Arial"/>
          <w:i/>
        </w:rPr>
        <w:t>fraud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scandals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such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as</w:t>
      </w:r>
      <w:proofErr w:type="spellEnd"/>
      <w:r>
        <w:rPr>
          <w:rFonts w:ascii="Arial" w:eastAsia="Arial" w:hAnsi="Arial" w:cs="Arial"/>
          <w:i/>
        </w:rPr>
        <w:t xml:space="preserve"> the </w:t>
      </w:r>
      <w:proofErr w:type="spellStart"/>
      <w:r>
        <w:rPr>
          <w:rFonts w:ascii="Arial" w:eastAsia="Arial" w:hAnsi="Arial" w:cs="Arial"/>
          <w:i/>
        </w:rPr>
        <w:t>horsemeat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scandal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have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shown</w:t>
      </w:r>
      <w:proofErr w:type="spellEnd"/>
      <w:r>
        <w:rPr>
          <w:rFonts w:ascii="Arial" w:eastAsia="Arial" w:hAnsi="Arial" w:cs="Arial"/>
          <w:i/>
        </w:rPr>
        <w:t xml:space="preserve"> the </w:t>
      </w:r>
      <w:proofErr w:type="spellStart"/>
      <w:r>
        <w:rPr>
          <w:rFonts w:ascii="Arial" w:eastAsia="Arial" w:hAnsi="Arial" w:cs="Arial"/>
          <w:i/>
        </w:rPr>
        <w:t>need</w:t>
      </w:r>
      <w:proofErr w:type="spellEnd"/>
      <w:r>
        <w:rPr>
          <w:rFonts w:ascii="Arial" w:eastAsia="Arial" w:hAnsi="Arial" w:cs="Arial"/>
          <w:i/>
        </w:rPr>
        <w:t xml:space="preserve"> for more </w:t>
      </w:r>
      <w:proofErr w:type="spellStart"/>
      <w:r>
        <w:rPr>
          <w:rFonts w:ascii="Arial" w:eastAsia="Arial" w:hAnsi="Arial" w:cs="Arial"/>
          <w:i/>
        </w:rPr>
        <w:t>effective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action</w:t>
      </w:r>
      <w:proofErr w:type="spellEnd"/>
      <w:r>
        <w:rPr>
          <w:rFonts w:ascii="Arial" w:eastAsia="Arial" w:hAnsi="Arial" w:cs="Arial"/>
          <w:i/>
        </w:rPr>
        <w:t xml:space="preserve"> on the part of enforcement </w:t>
      </w:r>
      <w:proofErr w:type="spellStart"/>
      <w:r>
        <w:rPr>
          <w:rFonts w:ascii="Arial" w:eastAsia="Arial" w:hAnsi="Arial" w:cs="Arial"/>
          <w:i/>
        </w:rPr>
        <w:t>authorities</w:t>
      </w:r>
      <w:proofErr w:type="spellEnd"/>
      <w:r>
        <w:rPr>
          <w:rFonts w:ascii="Arial" w:eastAsia="Arial" w:hAnsi="Arial" w:cs="Arial"/>
          <w:i/>
        </w:rPr>
        <w:t xml:space="preserve"> to </w:t>
      </w:r>
      <w:proofErr w:type="spellStart"/>
      <w:r>
        <w:rPr>
          <w:rFonts w:ascii="Arial" w:eastAsia="Arial" w:hAnsi="Arial" w:cs="Arial"/>
          <w:i/>
        </w:rPr>
        <w:t>protect</w:t>
      </w:r>
      <w:proofErr w:type="spellEnd"/>
      <w:r>
        <w:rPr>
          <w:rFonts w:ascii="Arial" w:eastAsia="Arial" w:hAnsi="Arial" w:cs="Arial"/>
          <w:i/>
        </w:rPr>
        <w:t xml:space="preserve"> consumers and </w:t>
      </w:r>
      <w:proofErr w:type="spellStart"/>
      <w:r>
        <w:rPr>
          <w:rFonts w:ascii="Arial" w:eastAsia="Arial" w:hAnsi="Arial" w:cs="Arial"/>
          <w:i/>
        </w:rPr>
        <w:t>honest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operators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alike</w:t>
      </w:r>
      <w:proofErr w:type="spellEnd"/>
      <w:r>
        <w:rPr>
          <w:rFonts w:ascii="Arial" w:eastAsia="Arial" w:hAnsi="Arial" w:cs="Arial"/>
          <w:i/>
        </w:rPr>
        <w:t xml:space="preserve">, from the risks </w:t>
      </w:r>
      <w:proofErr w:type="spellStart"/>
      <w:r>
        <w:rPr>
          <w:rFonts w:ascii="Arial" w:eastAsia="Arial" w:hAnsi="Arial" w:cs="Arial"/>
          <w:i/>
        </w:rPr>
        <w:t>which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may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arise</w:t>
      </w:r>
      <w:proofErr w:type="spellEnd"/>
      <w:r>
        <w:rPr>
          <w:rFonts w:ascii="Arial" w:eastAsia="Arial" w:hAnsi="Arial" w:cs="Arial"/>
          <w:i/>
        </w:rPr>
        <w:t xml:space="preserve"> from </w:t>
      </w:r>
      <w:proofErr w:type="spellStart"/>
      <w:r>
        <w:rPr>
          <w:rFonts w:ascii="Arial" w:eastAsia="Arial" w:hAnsi="Arial" w:cs="Arial"/>
          <w:i/>
        </w:rPr>
        <w:t>breaches</w:t>
      </w:r>
      <w:proofErr w:type="spellEnd"/>
      <w:r>
        <w:rPr>
          <w:rFonts w:ascii="Arial" w:eastAsia="Arial" w:hAnsi="Arial" w:cs="Arial"/>
          <w:i/>
        </w:rPr>
        <w:t xml:space="preserve"> of the </w:t>
      </w:r>
      <w:proofErr w:type="spellStart"/>
      <w:r>
        <w:rPr>
          <w:rFonts w:ascii="Arial" w:eastAsia="Arial" w:hAnsi="Arial" w:cs="Arial"/>
          <w:i/>
        </w:rPr>
        <w:t>rules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along</w:t>
      </w:r>
      <w:proofErr w:type="spellEnd"/>
      <w:r>
        <w:rPr>
          <w:rFonts w:ascii="Arial" w:eastAsia="Arial" w:hAnsi="Arial" w:cs="Arial"/>
          <w:i/>
        </w:rPr>
        <w:t xml:space="preserve"> the food </w:t>
      </w:r>
      <w:proofErr w:type="spellStart"/>
      <w:r>
        <w:rPr>
          <w:rFonts w:ascii="Arial" w:eastAsia="Arial" w:hAnsi="Arial" w:cs="Arial"/>
          <w:i/>
        </w:rPr>
        <w:t>chain</w:t>
      </w:r>
      <w:proofErr w:type="spellEnd"/>
      <w:r>
        <w:rPr>
          <w:rFonts w:ascii="Arial" w:eastAsia="Arial" w:hAnsi="Arial" w:cs="Arial"/>
          <w:i/>
        </w:rPr>
        <w:t>.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16" w:lineRule="auto"/>
        <w:ind w:left="660" w:right="9061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16" w:lineRule="auto"/>
        <w:ind w:left="655" w:right="293" w:hanging="10"/>
        <w:jc w:val="both"/>
      </w:pPr>
      <w:r>
        <w:rPr>
          <w:rFonts w:ascii="Arial" w:eastAsia="Arial" w:hAnsi="Arial" w:cs="Arial"/>
          <w:i/>
        </w:rPr>
        <w:t xml:space="preserve">The new </w:t>
      </w:r>
      <w:proofErr w:type="spellStart"/>
      <w:r>
        <w:rPr>
          <w:rFonts w:ascii="Arial" w:eastAsia="Arial" w:hAnsi="Arial" w:cs="Arial"/>
          <w:i/>
        </w:rPr>
        <w:t>rules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will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follow</w:t>
      </w:r>
      <w:proofErr w:type="spellEnd"/>
      <w:r>
        <w:rPr>
          <w:rFonts w:ascii="Arial" w:eastAsia="Arial" w:hAnsi="Arial" w:cs="Arial"/>
          <w:i/>
        </w:rPr>
        <w:t xml:space="preserve"> a risk-</w:t>
      </w:r>
      <w:proofErr w:type="spellStart"/>
      <w:r>
        <w:rPr>
          <w:rFonts w:ascii="Arial" w:eastAsia="Arial" w:hAnsi="Arial" w:cs="Arial"/>
          <w:i/>
        </w:rPr>
        <w:t>based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approach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thus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allowing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competent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authorities</w:t>
      </w:r>
      <w:proofErr w:type="spellEnd"/>
      <w:r>
        <w:rPr>
          <w:rFonts w:ascii="Arial" w:eastAsia="Arial" w:hAnsi="Arial" w:cs="Arial"/>
          <w:i/>
        </w:rPr>
        <w:t xml:space="preserve"> to focus </w:t>
      </w:r>
      <w:proofErr w:type="spellStart"/>
      <w:r>
        <w:rPr>
          <w:rFonts w:ascii="Arial" w:eastAsia="Arial" w:hAnsi="Arial" w:cs="Arial"/>
          <w:i/>
        </w:rPr>
        <w:t>their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resources</w:t>
      </w:r>
      <w:proofErr w:type="spellEnd"/>
      <w:r>
        <w:rPr>
          <w:rFonts w:ascii="Arial" w:eastAsia="Arial" w:hAnsi="Arial" w:cs="Arial"/>
          <w:i/>
        </w:rPr>
        <w:t xml:space="preserve"> on the more </w:t>
      </w:r>
      <w:proofErr w:type="spellStart"/>
      <w:r>
        <w:rPr>
          <w:rFonts w:ascii="Arial" w:eastAsia="Arial" w:hAnsi="Arial" w:cs="Arial"/>
          <w:i/>
        </w:rPr>
        <w:t>relevant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issues</w:t>
      </w:r>
      <w:proofErr w:type="spellEnd"/>
      <w:r>
        <w:rPr>
          <w:rFonts w:ascii="Arial" w:eastAsia="Arial" w:hAnsi="Arial" w:cs="Arial"/>
          <w:i/>
        </w:rPr>
        <w:t xml:space="preserve"> (</w:t>
      </w:r>
      <w:proofErr w:type="spellStart"/>
      <w:r>
        <w:rPr>
          <w:rFonts w:ascii="Arial" w:eastAsia="Arial" w:hAnsi="Arial" w:cs="Arial"/>
          <w:i/>
        </w:rPr>
        <w:t>all</w:t>
      </w:r>
      <w:proofErr w:type="spellEnd"/>
      <w:r>
        <w:rPr>
          <w:rFonts w:ascii="Arial" w:eastAsia="Arial" w:hAnsi="Arial" w:cs="Arial"/>
          <w:i/>
        </w:rPr>
        <w:t xml:space="preserve"> risks </w:t>
      </w:r>
      <w:proofErr w:type="spellStart"/>
      <w:r>
        <w:rPr>
          <w:rFonts w:ascii="Arial" w:eastAsia="Arial" w:hAnsi="Arial" w:cs="Arial"/>
          <w:i/>
        </w:rPr>
        <w:t>considered</w:t>
      </w:r>
      <w:proofErr w:type="spellEnd"/>
      <w:r>
        <w:rPr>
          <w:rFonts w:ascii="Arial" w:eastAsia="Arial" w:hAnsi="Arial" w:cs="Arial"/>
          <w:i/>
        </w:rPr>
        <w:t xml:space="preserve"> and </w:t>
      </w:r>
      <w:proofErr w:type="spellStart"/>
      <w:r>
        <w:rPr>
          <w:rFonts w:ascii="Arial" w:eastAsia="Arial" w:hAnsi="Arial" w:cs="Arial"/>
          <w:i/>
        </w:rPr>
        <w:t>not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only</w:t>
      </w:r>
      <w:proofErr w:type="spellEnd"/>
      <w:r>
        <w:rPr>
          <w:rFonts w:ascii="Arial" w:eastAsia="Arial" w:hAnsi="Arial" w:cs="Arial"/>
          <w:i/>
        </w:rPr>
        <w:t xml:space="preserve"> risks for </w:t>
      </w:r>
      <w:proofErr w:type="spellStart"/>
      <w:r>
        <w:rPr>
          <w:rFonts w:ascii="Arial" w:eastAsia="Arial" w:hAnsi="Arial" w:cs="Arial"/>
          <w:i/>
        </w:rPr>
        <w:t>health</w:t>
      </w:r>
      <w:proofErr w:type="spellEnd"/>
      <w:r>
        <w:rPr>
          <w:rFonts w:ascii="Arial" w:eastAsia="Arial" w:hAnsi="Arial" w:cs="Arial"/>
          <w:i/>
        </w:rPr>
        <w:t>).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16" w:lineRule="auto"/>
        <w:ind w:left="660" w:right="9061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156" w:line="216" w:lineRule="auto"/>
        <w:ind w:left="655" w:right="293" w:hanging="10"/>
        <w:jc w:val="both"/>
      </w:pPr>
      <w:r>
        <w:rPr>
          <w:rFonts w:ascii="Arial" w:eastAsia="Arial" w:hAnsi="Arial" w:cs="Arial"/>
          <w:i/>
        </w:rPr>
        <w:t xml:space="preserve">In </w:t>
      </w:r>
      <w:proofErr w:type="spellStart"/>
      <w:r>
        <w:rPr>
          <w:rFonts w:ascii="Arial" w:eastAsia="Arial" w:hAnsi="Arial" w:cs="Arial"/>
          <w:i/>
        </w:rPr>
        <w:t>order</w:t>
      </w:r>
      <w:proofErr w:type="spellEnd"/>
      <w:r>
        <w:rPr>
          <w:rFonts w:ascii="Arial" w:eastAsia="Arial" w:hAnsi="Arial" w:cs="Arial"/>
          <w:i/>
        </w:rPr>
        <w:t xml:space="preserve"> to </w:t>
      </w:r>
      <w:proofErr w:type="spellStart"/>
      <w:r>
        <w:rPr>
          <w:rFonts w:ascii="Arial" w:eastAsia="Arial" w:hAnsi="Arial" w:cs="Arial"/>
          <w:i/>
        </w:rPr>
        <w:t>establish</w:t>
      </w:r>
      <w:proofErr w:type="spellEnd"/>
      <w:r>
        <w:rPr>
          <w:rFonts w:ascii="Arial" w:eastAsia="Arial" w:hAnsi="Arial" w:cs="Arial"/>
          <w:i/>
        </w:rPr>
        <w:t xml:space="preserve"> a </w:t>
      </w:r>
      <w:proofErr w:type="spellStart"/>
      <w:r>
        <w:rPr>
          <w:rFonts w:ascii="Arial" w:eastAsia="Arial" w:hAnsi="Arial" w:cs="Arial"/>
          <w:i/>
        </w:rPr>
        <w:t>harmonised</w:t>
      </w:r>
      <w:proofErr w:type="spellEnd"/>
      <w:r>
        <w:rPr>
          <w:rFonts w:ascii="Arial" w:eastAsia="Arial" w:hAnsi="Arial" w:cs="Arial"/>
          <w:i/>
        </w:rPr>
        <w:t xml:space="preserve"> general framework, the </w:t>
      </w:r>
      <w:proofErr w:type="spellStart"/>
      <w:r>
        <w:rPr>
          <w:rFonts w:ascii="Arial" w:eastAsia="Arial" w:hAnsi="Arial" w:cs="Arial"/>
          <w:i/>
        </w:rPr>
        <w:t>proposal</w:t>
      </w:r>
      <w:proofErr w:type="spellEnd"/>
      <w:r>
        <w:rPr>
          <w:rFonts w:ascii="Arial" w:eastAsia="Arial" w:hAnsi="Arial" w:cs="Arial"/>
          <w:i/>
        </w:rPr>
        <w:t xml:space="preserve"> for a </w:t>
      </w:r>
      <w:proofErr w:type="spellStart"/>
      <w:r>
        <w:rPr>
          <w:rFonts w:ascii="Arial" w:eastAsia="Arial" w:hAnsi="Arial" w:cs="Arial"/>
          <w:i/>
        </w:rPr>
        <w:t>regulation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encompasses</w:t>
      </w:r>
      <w:proofErr w:type="spellEnd"/>
      <w:r>
        <w:rPr>
          <w:rFonts w:ascii="Arial" w:eastAsia="Arial" w:hAnsi="Arial" w:cs="Arial"/>
          <w:i/>
        </w:rPr>
        <w:t xml:space="preserve">, in a single </w:t>
      </w:r>
      <w:proofErr w:type="spellStart"/>
      <w:r>
        <w:rPr>
          <w:rFonts w:ascii="Arial" w:eastAsia="Arial" w:hAnsi="Arial" w:cs="Arial"/>
          <w:i/>
        </w:rPr>
        <w:t>regulatory</w:t>
      </w:r>
      <w:proofErr w:type="spellEnd"/>
      <w:r>
        <w:rPr>
          <w:rFonts w:ascii="Arial" w:eastAsia="Arial" w:hAnsi="Arial" w:cs="Arial"/>
          <w:i/>
        </w:rPr>
        <w:t xml:space="preserve"> text, the </w:t>
      </w:r>
      <w:proofErr w:type="spellStart"/>
      <w:r>
        <w:rPr>
          <w:rFonts w:ascii="Arial" w:eastAsia="Arial" w:hAnsi="Arial" w:cs="Arial"/>
          <w:i/>
        </w:rPr>
        <w:t>official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controls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relating</w:t>
      </w:r>
      <w:proofErr w:type="spellEnd"/>
      <w:r>
        <w:rPr>
          <w:rFonts w:ascii="Arial" w:eastAsia="Arial" w:hAnsi="Arial" w:cs="Arial"/>
          <w:i/>
        </w:rPr>
        <w:t xml:space="preserve"> to </w:t>
      </w:r>
      <w:proofErr w:type="spellStart"/>
      <w:r>
        <w:rPr>
          <w:rFonts w:ascii="Arial" w:eastAsia="Arial" w:hAnsi="Arial" w:cs="Arial"/>
          <w:i/>
        </w:rPr>
        <w:t>all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sectors</w:t>
      </w:r>
      <w:proofErr w:type="spellEnd"/>
      <w:r>
        <w:rPr>
          <w:rFonts w:ascii="Arial" w:eastAsia="Arial" w:hAnsi="Arial" w:cs="Arial"/>
          <w:i/>
        </w:rPr>
        <w:t xml:space="preserve"> of the agri-food </w:t>
      </w:r>
      <w:proofErr w:type="spellStart"/>
      <w:r>
        <w:rPr>
          <w:rFonts w:ascii="Arial" w:eastAsia="Arial" w:hAnsi="Arial" w:cs="Arial"/>
          <w:i/>
        </w:rPr>
        <w:t>chain</w:t>
      </w:r>
      <w:proofErr w:type="spellEnd"/>
      <w:r>
        <w:rPr>
          <w:rFonts w:ascii="Arial" w:eastAsia="Arial" w:hAnsi="Arial" w:cs="Arial"/>
          <w:i/>
        </w:rPr>
        <w:t xml:space="preserve"> (</w:t>
      </w:r>
      <w:proofErr w:type="spellStart"/>
      <w:r>
        <w:rPr>
          <w:rFonts w:ascii="Arial" w:eastAsia="Arial" w:hAnsi="Arial" w:cs="Arial"/>
          <w:i/>
        </w:rPr>
        <w:t>currently</w:t>
      </w:r>
      <w:proofErr w:type="spellEnd"/>
      <w:r>
        <w:rPr>
          <w:rFonts w:ascii="Arial" w:eastAsia="Arial" w:hAnsi="Arial" w:cs="Arial"/>
          <w:i/>
        </w:rPr>
        <w:t xml:space="preserve"> split </w:t>
      </w:r>
      <w:proofErr w:type="spellStart"/>
      <w:r>
        <w:rPr>
          <w:rFonts w:ascii="Arial" w:eastAsia="Arial" w:hAnsi="Arial" w:cs="Arial"/>
          <w:i/>
        </w:rPr>
        <w:t>among</w:t>
      </w:r>
      <w:proofErr w:type="spellEnd"/>
      <w:r>
        <w:rPr>
          <w:rFonts w:ascii="Arial" w:eastAsia="Arial" w:hAnsi="Arial" w:cs="Arial"/>
          <w:i/>
        </w:rPr>
        <w:t xml:space="preserve"> 16 or so </w:t>
      </w:r>
      <w:proofErr w:type="spellStart"/>
      <w:r>
        <w:rPr>
          <w:rFonts w:ascii="Arial" w:eastAsia="Arial" w:hAnsi="Arial" w:cs="Arial"/>
          <w:i/>
        </w:rPr>
        <w:t>regulations</w:t>
      </w:r>
      <w:proofErr w:type="spellEnd"/>
      <w:r>
        <w:rPr>
          <w:rFonts w:ascii="Arial" w:eastAsia="Arial" w:hAnsi="Arial" w:cs="Arial"/>
          <w:i/>
        </w:rPr>
        <w:t xml:space="preserve"> or </w:t>
      </w:r>
      <w:proofErr w:type="spellStart"/>
      <w:r>
        <w:rPr>
          <w:rFonts w:ascii="Arial" w:eastAsia="Arial" w:hAnsi="Arial" w:cs="Arial"/>
          <w:i/>
        </w:rPr>
        <w:t>directives</w:t>
      </w:r>
      <w:proofErr w:type="spellEnd"/>
      <w:r>
        <w:rPr>
          <w:rFonts w:ascii="Arial" w:eastAsia="Arial" w:hAnsi="Arial" w:cs="Arial"/>
          <w:i/>
        </w:rPr>
        <w:t>). T</w:t>
      </w:r>
      <w:r>
        <w:rPr>
          <w:rFonts w:ascii="Arial" w:eastAsia="Arial" w:hAnsi="Arial" w:cs="Arial"/>
          <w:i/>
        </w:rPr>
        <w:t xml:space="preserve">he </w:t>
      </w:r>
      <w:proofErr w:type="spellStart"/>
      <w:r>
        <w:rPr>
          <w:rFonts w:ascii="Arial" w:eastAsia="Arial" w:hAnsi="Arial" w:cs="Arial"/>
          <w:i/>
        </w:rPr>
        <w:t>proposal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lastRenderedPageBreak/>
        <w:t>provides</w:t>
      </w:r>
      <w:proofErr w:type="spellEnd"/>
      <w:r>
        <w:rPr>
          <w:rFonts w:ascii="Arial" w:eastAsia="Arial" w:hAnsi="Arial" w:cs="Arial"/>
          <w:i/>
        </w:rPr>
        <w:t xml:space="preserve"> an in-</w:t>
      </w:r>
      <w:proofErr w:type="spellStart"/>
      <w:r>
        <w:rPr>
          <w:rFonts w:ascii="Arial" w:eastAsia="Arial" w:hAnsi="Arial" w:cs="Arial"/>
          <w:i/>
        </w:rPr>
        <w:t>depth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review</w:t>
      </w:r>
      <w:proofErr w:type="spellEnd"/>
      <w:r>
        <w:rPr>
          <w:rFonts w:ascii="Arial" w:eastAsia="Arial" w:hAnsi="Arial" w:cs="Arial"/>
          <w:i/>
        </w:rPr>
        <w:t xml:space="preserve"> of </w:t>
      </w:r>
      <w:proofErr w:type="spellStart"/>
      <w:r>
        <w:rPr>
          <w:rFonts w:ascii="Arial" w:eastAsia="Arial" w:hAnsi="Arial" w:cs="Arial"/>
          <w:i/>
        </w:rPr>
        <w:t>existing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provisions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aiming</w:t>
      </w:r>
      <w:proofErr w:type="spellEnd"/>
      <w:r>
        <w:rPr>
          <w:rFonts w:ascii="Arial" w:eastAsia="Arial" w:hAnsi="Arial" w:cs="Arial"/>
          <w:i/>
        </w:rPr>
        <w:t xml:space="preserve"> to eliminate </w:t>
      </w:r>
      <w:proofErr w:type="spellStart"/>
      <w:r>
        <w:rPr>
          <w:rFonts w:ascii="Arial" w:eastAsia="Arial" w:hAnsi="Arial" w:cs="Arial"/>
          <w:i/>
        </w:rPr>
        <w:t>any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regulatory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overlapping</w:t>
      </w:r>
      <w:proofErr w:type="spellEnd"/>
      <w:r>
        <w:rPr>
          <w:rFonts w:ascii="Arial" w:eastAsia="Arial" w:hAnsi="Arial" w:cs="Arial"/>
          <w:i/>
        </w:rPr>
        <w:t xml:space="preserve"> and </w:t>
      </w:r>
      <w:proofErr w:type="spellStart"/>
      <w:r>
        <w:rPr>
          <w:rFonts w:ascii="Arial" w:eastAsia="Arial" w:hAnsi="Arial" w:cs="Arial"/>
          <w:i/>
        </w:rPr>
        <w:t>taking</w:t>
      </w:r>
      <w:proofErr w:type="spellEnd"/>
      <w:r>
        <w:rPr>
          <w:rFonts w:ascii="Arial" w:eastAsia="Arial" w:hAnsi="Arial" w:cs="Arial"/>
          <w:i/>
        </w:rPr>
        <w:t xml:space="preserve"> a </w:t>
      </w:r>
      <w:proofErr w:type="spellStart"/>
      <w:r>
        <w:rPr>
          <w:rFonts w:ascii="Arial" w:eastAsia="Arial" w:hAnsi="Arial" w:cs="Arial"/>
          <w:i/>
        </w:rPr>
        <w:t>proportional</w:t>
      </w:r>
      <w:proofErr w:type="spellEnd"/>
      <w:r>
        <w:rPr>
          <w:rFonts w:ascii="Arial" w:eastAsia="Arial" w:hAnsi="Arial" w:cs="Arial"/>
          <w:i/>
        </w:rPr>
        <w:t xml:space="preserve"> and </w:t>
      </w:r>
      <w:proofErr w:type="spellStart"/>
      <w:r>
        <w:rPr>
          <w:rFonts w:ascii="Arial" w:eastAsia="Arial" w:hAnsi="Arial" w:cs="Arial"/>
          <w:i/>
        </w:rPr>
        <w:t>flexible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approach</w:t>
      </w:r>
      <w:proofErr w:type="spellEnd"/>
      <w:r>
        <w:rPr>
          <w:rFonts w:ascii="Arial" w:eastAsia="Arial" w:hAnsi="Arial" w:cs="Arial"/>
          <w:i/>
        </w:rPr>
        <w:t xml:space="preserve"> so </w:t>
      </w:r>
      <w:proofErr w:type="spellStart"/>
      <w:r>
        <w:rPr>
          <w:rFonts w:ascii="Arial" w:eastAsia="Arial" w:hAnsi="Arial" w:cs="Arial"/>
          <w:i/>
        </w:rPr>
        <w:t>as</w:t>
      </w:r>
      <w:proofErr w:type="spellEnd"/>
      <w:r>
        <w:rPr>
          <w:rFonts w:ascii="Arial" w:eastAsia="Arial" w:hAnsi="Arial" w:cs="Arial"/>
          <w:i/>
        </w:rPr>
        <w:t xml:space="preserve"> to be </w:t>
      </w:r>
      <w:proofErr w:type="spellStart"/>
      <w:r>
        <w:rPr>
          <w:rFonts w:ascii="Arial" w:eastAsia="Arial" w:hAnsi="Arial" w:cs="Arial"/>
          <w:i/>
        </w:rPr>
        <w:t>able</w:t>
      </w:r>
      <w:proofErr w:type="spellEnd"/>
      <w:r>
        <w:rPr>
          <w:rFonts w:ascii="Arial" w:eastAsia="Arial" w:hAnsi="Arial" w:cs="Arial"/>
          <w:i/>
        </w:rPr>
        <w:t xml:space="preserve"> to </w:t>
      </w:r>
      <w:proofErr w:type="spellStart"/>
      <w:r>
        <w:rPr>
          <w:rFonts w:ascii="Arial" w:eastAsia="Arial" w:hAnsi="Arial" w:cs="Arial"/>
          <w:i/>
        </w:rPr>
        <w:t>react</w:t>
      </w:r>
      <w:proofErr w:type="spellEnd"/>
      <w:r>
        <w:rPr>
          <w:rFonts w:ascii="Arial" w:eastAsia="Arial" w:hAnsi="Arial" w:cs="Arial"/>
          <w:i/>
        </w:rPr>
        <w:t xml:space="preserve"> more</w:t>
      </w:r>
    </w:p>
    <w:p w:rsidR="00CB164A" w:rsidRDefault="009A4EB0">
      <w:pPr>
        <w:spacing w:after="187"/>
        <w:ind w:left="-480"/>
      </w:pPr>
      <w:r>
        <w:rPr>
          <w:noProof/>
        </w:rPr>
        <mc:AlternateContent>
          <mc:Choice Requires="wpg">
            <w:drawing>
              <wp:inline distT="0" distB="0" distL="0" distR="0">
                <wp:extent cx="6515100" cy="6350"/>
                <wp:effectExtent l="0" t="0" r="0" b="0"/>
                <wp:docPr id="1856" name="Group 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350"/>
                          <a:chOff x="0" y="0"/>
                          <a:chExt cx="6515100" cy="6350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919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6" style="width:513pt;height:0.5pt;mso-position-horizontal-relative:char;mso-position-vertical-relative:line" coordsize="65151,63">
                <v:shape id="Shape 81" style="position:absolute;width:65151;height:0;left:0;top:0;" coordsize="6515100,0" path="m0,0l6515100,0">
                  <v:stroke weight="0.5pt" endcap="flat" joinstyle="miter" miterlimit="10" on="true" color="#691940"/>
                  <v:fill on="false" color="#000000" opacity="0"/>
                </v:shape>
              </v:group>
            </w:pict>
          </mc:Fallback>
        </mc:AlternateContent>
      </w:r>
    </w:p>
    <w:p w:rsidR="00CB164A" w:rsidRDefault="009A4EB0">
      <w:pPr>
        <w:spacing w:after="3"/>
        <w:ind w:left="-5" w:hanging="10"/>
      </w:pPr>
      <w:r>
        <w:rPr>
          <w:rFonts w:ascii="Arial" w:eastAsia="Arial" w:hAnsi="Arial" w:cs="Arial"/>
          <w:sz w:val="12"/>
        </w:rPr>
        <w:t>Press Service</w:t>
      </w:r>
    </w:p>
    <w:p w:rsidR="00CB164A" w:rsidRDefault="009A4EB0">
      <w:pPr>
        <w:spacing w:after="192"/>
        <w:ind w:left="1100" w:hanging="10"/>
      </w:pPr>
      <w:proofErr w:type="spellStart"/>
      <w:r>
        <w:rPr>
          <w:rFonts w:ascii="Arial" w:eastAsia="Arial" w:hAnsi="Arial" w:cs="Arial"/>
          <w:sz w:val="12"/>
        </w:rPr>
        <w:t>Directorate</w:t>
      </w:r>
      <w:proofErr w:type="spellEnd"/>
      <w:r>
        <w:rPr>
          <w:rFonts w:ascii="Arial" w:eastAsia="Arial" w:hAnsi="Arial" w:cs="Arial"/>
          <w:sz w:val="12"/>
        </w:rPr>
        <w:t xml:space="preserve"> for the Media</w:t>
      </w:r>
    </w:p>
    <w:p w:rsidR="00CB164A" w:rsidRDefault="009A4EB0">
      <w:pPr>
        <w:tabs>
          <w:tab w:val="right" w:pos="9788"/>
        </w:tabs>
        <w:spacing w:after="3"/>
        <w:ind w:left="-15"/>
      </w:pPr>
      <w:r>
        <w:rPr>
          <w:rFonts w:ascii="Arial" w:eastAsia="Arial" w:hAnsi="Arial" w:cs="Arial"/>
          <w:b/>
          <w:sz w:val="50"/>
        </w:rPr>
        <w:t xml:space="preserve">EN </w:t>
      </w:r>
      <w:proofErr w:type="spellStart"/>
      <w:r>
        <w:rPr>
          <w:rFonts w:ascii="Arial" w:eastAsia="Arial" w:hAnsi="Arial" w:cs="Arial"/>
          <w:sz w:val="12"/>
        </w:rPr>
        <w:t>Director</w:t>
      </w:r>
      <w:proofErr w:type="spellEnd"/>
      <w:r>
        <w:rPr>
          <w:rFonts w:ascii="Arial" w:eastAsia="Arial" w:hAnsi="Arial" w:cs="Arial"/>
          <w:sz w:val="12"/>
        </w:rPr>
        <w:t xml:space="preserve"> - </w:t>
      </w:r>
      <w:proofErr w:type="spellStart"/>
      <w:r>
        <w:rPr>
          <w:rFonts w:ascii="Arial" w:eastAsia="Arial" w:hAnsi="Arial" w:cs="Arial"/>
          <w:sz w:val="12"/>
        </w:rPr>
        <w:t>Spokespers</w:t>
      </w:r>
      <w:r>
        <w:rPr>
          <w:rFonts w:ascii="Arial" w:eastAsia="Arial" w:hAnsi="Arial" w:cs="Arial"/>
          <w:sz w:val="12"/>
        </w:rPr>
        <w:t>on</w:t>
      </w:r>
      <w:proofErr w:type="spellEnd"/>
      <w:r>
        <w:rPr>
          <w:rFonts w:ascii="Arial" w:eastAsia="Arial" w:hAnsi="Arial" w:cs="Arial"/>
          <w:sz w:val="12"/>
        </w:rPr>
        <w:t xml:space="preserve"> : </w:t>
      </w:r>
      <w:proofErr w:type="spellStart"/>
      <w:r>
        <w:rPr>
          <w:rFonts w:ascii="Arial" w:eastAsia="Arial" w:hAnsi="Arial" w:cs="Arial"/>
          <w:sz w:val="12"/>
        </w:rPr>
        <w:t>Jaume</w:t>
      </w:r>
      <w:proofErr w:type="spellEnd"/>
      <w:r>
        <w:rPr>
          <w:rFonts w:ascii="Arial" w:eastAsia="Arial" w:hAnsi="Arial" w:cs="Arial"/>
          <w:sz w:val="12"/>
        </w:rPr>
        <w:t xml:space="preserve"> DUCH GUILLOT</w:t>
      </w:r>
      <w:r>
        <w:rPr>
          <w:rFonts w:ascii="Arial" w:eastAsia="Arial" w:hAnsi="Arial" w:cs="Arial"/>
          <w:sz w:val="12"/>
        </w:rPr>
        <w:tab/>
        <w:t>1/2</w:t>
      </w:r>
    </w:p>
    <w:p w:rsidR="00CB164A" w:rsidRDefault="009A4EB0">
      <w:pPr>
        <w:spacing w:after="3"/>
        <w:ind w:left="1100" w:hanging="10"/>
      </w:pPr>
      <w:r>
        <w:rPr>
          <w:rFonts w:ascii="Arial" w:eastAsia="Arial" w:hAnsi="Arial" w:cs="Arial"/>
          <w:sz w:val="12"/>
        </w:rPr>
        <w:t>Reference No:20170308IPR65670</w:t>
      </w:r>
    </w:p>
    <w:p w:rsidR="00CB164A" w:rsidRDefault="009A4EB0">
      <w:pPr>
        <w:spacing w:after="3"/>
        <w:ind w:left="-5" w:hanging="10"/>
      </w:pPr>
      <w:r>
        <w:rPr>
          <w:rFonts w:ascii="Arial" w:eastAsia="Arial" w:hAnsi="Arial" w:cs="Arial"/>
          <w:sz w:val="12"/>
        </w:rPr>
        <w:t xml:space="preserve">Press </w:t>
      </w:r>
      <w:proofErr w:type="spellStart"/>
      <w:r>
        <w:rPr>
          <w:rFonts w:ascii="Arial" w:eastAsia="Arial" w:hAnsi="Arial" w:cs="Arial"/>
          <w:sz w:val="12"/>
        </w:rPr>
        <w:t>switchboard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number</w:t>
      </w:r>
      <w:proofErr w:type="spellEnd"/>
      <w:r>
        <w:rPr>
          <w:rFonts w:ascii="Arial" w:eastAsia="Arial" w:hAnsi="Arial" w:cs="Arial"/>
          <w:sz w:val="12"/>
        </w:rPr>
        <w:t xml:space="preserve"> (32-2) 28 33000</w:t>
      </w:r>
    </w:p>
    <w:p w:rsidR="00CB164A" w:rsidRDefault="009A4EB0">
      <w:pPr>
        <w:pStyle w:val="Titolo1"/>
      </w:pPr>
      <w:r>
        <w:t>Press release</w:t>
      </w:r>
    </w:p>
    <w:p w:rsidR="00CB164A" w:rsidRDefault="009A4EB0">
      <w:pPr>
        <w:spacing w:after="0" w:line="216" w:lineRule="auto"/>
        <w:ind w:left="655" w:right="293" w:hanging="10"/>
        <w:jc w:val="both"/>
      </w:pPr>
      <w:proofErr w:type="spellStart"/>
      <w:r>
        <w:rPr>
          <w:rFonts w:ascii="Arial" w:eastAsia="Arial" w:hAnsi="Arial" w:cs="Arial"/>
          <w:i/>
        </w:rPr>
        <w:t>promptly</w:t>
      </w:r>
      <w:proofErr w:type="spellEnd"/>
      <w:r>
        <w:rPr>
          <w:rFonts w:ascii="Arial" w:eastAsia="Arial" w:hAnsi="Arial" w:cs="Arial"/>
          <w:i/>
        </w:rPr>
        <w:t xml:space="preserve"> to </w:t>
      </w:r>
      <w:proofErr w:type="spellStart"/>
      <w:r>
        <w:rPr>
          <w:rFonts w:ascii="Arial" w:eastAsia="Arial" w:hAnsi="Arial" w:cs="Arial"/>
          <w:i/>
        </w:rPr>
        <w:t>emergency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situations</w:t>
      </w:r>
      <w:proofErr w:type="spellEnd"/>
      <w:r>
        <w:rPr>
          <w:rFonts w:ascii="Arial" w:eastAsia="Arial" w:hAnsi="Arial" w:cs="Arial"/>
          <w:i/>
        </w:rPr>
        <w:t xml:space="preserve">, by, for </w:t>
      </w:r>
      <w:proofErr w:type="spellStart"/>
      <w:r>
        <w:rPr>
          <w:rFonts w:ascii="Arial" w:eastAsia="Arial" w:hAnsi="Arial" w:cs="Arial"/>
          <w:i/>
        </w:rPr>
        <w:t>example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establishing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swifter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procedures</w:t>
      </w:r>
      <w:proofErr w:type="spellEnd"/>
      <w:r>
        <w:rPr>
          <w:rFonts w:ascii="Arial" w:eastAsia="Arial" w:hAnsi="Arial" w:cs="Arial"/>
          <w:i/>
        </w:rPr>
        <w:t xml:space="preserve"> for the </w:t>
      </w:r>
      <w:proofErr w:type="spellStart"/>
      <w:r>
        <w:rPr>
          <w:rFonts w:ascii="Arial" w:eastAsia="Arial" w:hAnsi="Arial" w:cs="Arial"/>
          <w:i/>
        </w:rPr>
        <w:t>accreditation</w:t>
      </w:r>
      <w:proofErr w:type="spellEnd"/>
      <w:r>
        <w:rPr>
          <w:rFonts w:ascii="Arial" w:eastAsia="Arial" w:hAnsi="Arial" w:cs="Arial"/>
          <w:i/>
        </w:rPr>
        <w:t xml:space="preserve"> of </w:t>
      </w:r>
      <w:proofErr w:type="spellStart"/>
      <w:r>
        <w:rPr>
          <w:rFonts w:ascii="Arial" w:eastAsia="Arial" w:hAnsi="Arial" w:cs="Arial"/>
          <w:i/>
        </w:rPr>
        <w:t>official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laboratories</w:t>
      </w:r>
      <w:proofErr w:type="spellEnd"/>
      <w:r>
        <w:rPr>
          <w:rFonts w:ascii="Arial" w:eastAsia="Arial" w:hAnsi="Arial" w:cs="Arial"/>
          <w:i/>
        </w:rPr>
        <w:t>.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16" w:lineRule="auto"/>
        <w:ind w:left="660" w:right="9061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  <w:b/>
        </w:rPr>
        <w:t>Procedu</w:t>
      </w:r>
      <w:r>
        <w:rPr>
          <w:rFonts w:ascii="Arial" w:eastAsia="Arial" w:hAnsi="Arial" w:cs="Arial"/>
          <w:b/>
        </w:rPr>
        <w:t>re: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Ordinary</w:t>
      </w:r>
      <w:proofErr w:type="spellEnd"/>
      <w:r>
        <w:rPr>
          <w:rFonts w:ascii="Arial" w:eastAsia="Arial" w:hAnsi="Arial" w:cs="Arial"/>
        </w:rPr>
        <w:t xml:space="preserve"> legislative procedure, second </w:t>
      </w:r>
      <w:proofErr w:type="spellStart"/>
      <w:r>
        <w:rPr>
          <w:rFonts w:ascii="Arial" w:eastAsia="Arial" w:hAnsi="Arial" w:cs="Arial"/>
        </w:rPr>
        <w:t>reading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agreement</w:t>
      </w:r>
      <w:proofErr w:type="spellEnd"/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820" w:type="dxa"/>
        <w:tblInd w:w="660" w:type="dxa"/>
        <w:tblCellMar>
          <w:top w:w="17" w:type="dxa"/>
          <w:left w:w="4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820"/>
      </w:tblGrid>
      <w:tr w:rsidR="00CB164A">
        <w:trPr>
          <w:trHeight w:val="372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CB164A" w:rsidRDefault="009A4EB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</w:rPr>
              <w:t>Further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information</w:t>
            </w:r>
          </w:p>
        </w:tc>
      </w:tr>
      <w:tr w:rsidR="00CB164A">
        <w:trPr>
          <w:trHeight w:val="302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CB164A" w:rsidRDefault="009A4EB0">
            <w:pPr>
              <w:numPr>
                <w:ilvl w:val="0"/>
                <w:numId w:val="2"/>
              </w:numPr>
              <w:spacing w:after="0"/>
              <w:ind w:hanging="300"/>
            </w:pPr>
            <w:r>
              <w:rPr>
                <w:rFonts w:ascii="Arial" w:eastAsia="Arial" w:hAnsi="Arial" w:cs="Arial"/>
                <w:sz w:val="18"/>
              </w:rPr>
              <w:t>Steps of the procedure:</w:t>
            </w:r>
          </w:p>
          <w:p w:rsidR="00CB164A" w:rsidRDefault="009A4EB0">
            <w:pPr>
              <w:spacing w:after="6" w:line="255" w:lineRule="auto"/>
              <w:ind w:right="676" w:firstLine="300"/>
            </w:pPr>
            <w:hyperlink r:id="rId6">
              <w:r>
                <w:rPr>
                  <w:rFonts w:ascii="Arial" w:eastAsia="Arial" w:hAnsi="Arial" w:cs="Arial"/>
                  <w:color w:val="0000FF"/>
                  <w:sz w:val="18"/>
                </w:rPr>
                <w:t xml:space="preserve">http://www.europarl.europa.eu/oeil/popups/ficheprocedure.do?reference=2013/0140(COD)&amp;l=en </w:t>
              </w:r>
            </w:hyperlink>
            <w:r>
              <w:rPr>
                <w:rFonts w:ascii="Arial" w:eastAsia="Arial" w:hAnsi="Arial" w:cs="Aria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ab/>
              <w:t xml:space="preserve">EP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rapporteur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Karin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Kadenbach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(S&amp;D, AT): </w:t>
            </w:r>
            <w:hyperlink r:id="rId7">
              <w:r>
                <w:rPr>
                  <w:rFonts w:ascii="Arial" w:eastAsia="Arial" w:hAnsi="Arial" w:cs="Arial"/>
                  <w:color w:val="0000FF"/>
                  <w:sz w:val="18"/>
                </w:rPr>
                <w:t>http://www.europarl.europa.eu/meps/en/97014.html</w:t>
              </w:r>
            </w:hyperlink>
          </w:p>
          <w:p w:rsidR="00CB164A" w:rsidRDefault="009A4EB0">
            <w:pPr>
              <w:numPr>
                <w:ilvl w:val="0"/>
                <w:numId w:val="2"/>
              </w:numPr>
              <w:spacing w:after="0"/>
              <w:ind w:hanging="30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Adopte</w:t>
            </w:r>
            <w:r>
              <w:rPr>
                <w:rFonts w:ascii="Arial" w:eastAsia="Arial" w:hAnsi="Arial" w:cs="Arial"/>
                <w:sz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text (2013/0140(COD))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will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soon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available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here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(15.03.2017):</w:t>
            </w:r>
          </w:p>
          <w:p w:rsidR="00CB164A" w:rsidRDefault="009A4EB0">
            <w:pPr>
              <w:spacing w:after="0"/>
              <w:ind w:left="300"/>
            </w:pPr>
            <w:hyperlink r:id="rId8">
              <w:r>
                <w:rPr>
                  <w:rFonts w:ascii="Arial" w:eastAsia="Arial" w:hAnsi="Arial" w:cs="Arial"/>
                  <w:color w:val="0000FF"/>
                  <w:sz w:val="18"/>
                </w:rPr>
                <w:t>http://www.europarl.europa.eu/plenary/en/texts-adopted.html</w:t>
              </w:r>
            </w:hyperlink>
          </w:p>
          <w:p w:rsidR="00CB164A" w:rsidRDefault="009A4EB0">
            <w:pPr>
              <w:numPr>
                <w:ilvl w:val="0"/>
                <w:numId w:val="2"/>
              </w:numPr>
              <w:spacing w:after="34" w:line="216" w:lineRule="auto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Video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recording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debate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(click on 14.03.2017):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8"/>
                </w:rPr>
                <w:t>http://www.europarl.europa.eu/ep-live/en/plenary/search</w:t>
              </w:r>
            </w:hyperlink>
            <w:hyperlink r:id="rId10">
              <w:r>
                <w:rPr>
                  <w:rFonts w:ascii="Arial" w:eastAsia="Arial" w:hAnsi="Arial" w:cs="Arial"/>
                  <w:color w:val="0000FF"/>
                  <w:sz w:val="18"/>
                </w:rPr>
                <w:t>by-date</w:t>
              </w:r>
            </w:hyperlink>
          </w:p>
          <w:p w:rsidR="00CB164A" w:rsidRDefault="009A4EB0">
            <w:pPr>
              <w:numPr>
                <w:ilvl w:val="0"/>
                <w:numId w:val="2"/>
              </w:numPr>
              <w:spacing w:after="34" w:line="216" w:lineRule="auto"/>
              <w:ind w:hanging="300"/>
            </w:pPr>
            <w:r>
              <w:rPr>
                <w:rFonts w:ascii="Arial" w:eastAsia="Arial" w:hAnsi="Arial" w:cs="Arial"/>
                <w:sz w:val="18"/>
              </w:rPr>
              <w:t>Video of the press conference</w:t>
            </w:r>
            <w:r>
              <w:rPr>
                <w:rFonts w:ascii="Arial" w:eastAsia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if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applicable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: </w:t>
            </w:r>
            <w:hyperlink r:id="rId11">
              <w:r>
                <w:rPr>
                  <w:rFonts w:ascii="Arial" w:eastAsia="Arial" w:hAnsi="Arial" w:cs="Arial"/>
                  <w:color w:val="0000FF"/>
                  <w:sz w:val="18"/>
                </w:rPr>
                <w:t>http://www.europarl.europa.eu/ep-live/en/other</w:t>
              </w:r>
            </w:hyperlink>
            <w:hyperlink r:id="rId12">
              <w:r>
                <w:rPr>
                  <w:rFonts w:ascii="Arial" w:eastAsia="Arial" w:hAnsi="Arial" w:cs="Arial"/>
                  <w:color w:val="0000FF"/>
                  <w:sz w:val="18"/>
                </w:rPr>
                <w:t>events/schedule</w:t>
              </w:r>
            </w:hyperlink>
          </w:p>
          <w:p w:rsidR="00CB164A" w:rsidRDefault="009A4EB0">
            <w:pPr>
              <w:numPr>
                <w:ilvl w:val="0"/>
                <w:numId w:val="2"/>
              </w:numPr>
              <w:spacing w:after="0"/>
              <w:ind w:hanging="30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EbS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+ (14.03.2017) :</w:t>
            </w:r>
          </w:p>
          <w:p w:rsidR="00CB164A" w:rsidRDefault="009A4EB0">
            <w:pPr>
              <w:spacing w:after="0"/>
              <w:ind w:left="51"/>
              <w:jc w:val="center"/>
            </w:pPr>
            <w:hyperlink r:id="rId13">
              <w:r>
                <w:rPr>
                  <w:rFonts w:ascii="Arial" w:eastAsia="Arial" w:hAnsi="Arial" w:cs="Arial"/>
                  <w:color w:val="0000FF"/>
                  <w:sz w:val="18"/>
                </w:rPr>
                <w:t>http://ec.europa.eu/avservices/ebs/schedule.cfm?sitelang=en&amp;page=3&amp;institution=0&amp;date=03/14/2017</w:t>
              </w:r>
            </w:hyperlink>
          </w:p>
          <w:p w:rsidR="00CB164A" w:rsidRDefault="009A4EB0">
            <w:pPr>
              <w:numPr>
                <w:ilvl w:val="0"/>
                <w:numId w:val="2"/>
              </w:numPr>
              <w:spacing w:after="0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EP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Research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Fighting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</w:t>
            </w:r>
            <w:r>
              <w:rPr>
                <w:rFonts w:ascii="Arial" w:eastAsia="Arial" w:hAnsi="Arial" w:cs="Arial"/>
                <w:sz w:val="18"/>
              </w:rPr>
              <w:t xml:space="preserve">ood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fraud</w:t>
            </w:r>
            <w:proofErr w:type="spellEnd"/>
            <w:r>
              <w:rPr>
                <w:rFonts w:ascii="Arial" w:eastAsia="Arial" w:hAnsi="Arial" w:cs="Arial"/>
                <w:sz w:val="18"/>
              </w:rPr>
              <w:t>:</w:t>
            </w:r>
          </w:p>
          <w:p w:rsidR="00CB164A" w:rsidRDefault="009A4EB0">
            <w:pPr>
              <w:spacing w:after="34" w:line="216" w:lineRule="auto"/>
              <w:ind w:left="300"/>
            </w:pPr>
            <w:hyperlink r:id="rId14">
              <w:r>
                <w:rPr>
                  <w:rFonts w:ascii="Arial" w:eastAsia="Arial" w:hAnsi="Arial" w:cs="Arial"/>
                  <w:color w:val="0000FF"/>
                  <w:sz w:val="18"/>
                </w:rPr>
                <w:t xml:space="preserve">http://www.europarl.europa.eu/RegData/bibliotheque/briefing/2014/130679/LDM_BRI%282014%2913067 </w:t>
              </w:r>
            </w:hyperlink>
            <w:hyperlink r:id="rId15">
              <w:r>
                <w:rPr>
                  <w:rFonts w:ascii="Arial" w:eastAsia="Arial" w:hAnsi="Arial" w:cs="Arial"/>
                  <w:color w:val="0000FF"/>
                  <w:sz w:val="18"/>
                </w:rPr>
                <w:t>9_REV1_EN.pdf</w:t>
              </w:r>
            </w:hyperlink>
          </w:p>
          <w:p w:rsidR="00CB164A" w:rsidRDefault="009A4EB0">
            <w:pPr>
              <w:numPr>
                <w:ilvl w:val="0"/>
                <w:numId w:val="2"/>
              </w:numPr>
              <w:spacing w:after="0"/>
              <w:ind w:hanging="30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Audiovisual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material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professionals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: </w:t>
            </w:r>
            <w:hyperlink r:id="rId16">
              <w:r>
                <w:rPr>
                  <w:rFonts w:ascii="Arial" w:eastAsia="Arial" w:hAnsi="Arial" w:cs="Arial"/>
                  <w:color w:val="0000FF"/>
                  <w:sz w:val="18"/>
                </w:rPr>
                <w:t>http://audiovisual.europarl.e</w:t>
              </w:r>
              <w:r>
                <w:rPr>
                  <w:rFonts w:ascii="Arial" w:eastAsia="Arial" w:hAnsi="Arial" w:cs="Arial"/>
                  <w:color w:val="0000FF"/>
                  <w:sz w:val="18"/>
                </w:rPr>
                <w:t>uropa.eu/food-safety</w:t>
              </w:r>
            </w:hyperlink>
          </w:p>
        </w:tc>
      </w:tr>
      <w:tr w:rsidR="00CB164A">
        <w:trPr>
          <w:trHeight w:val="372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CB164A" w:rsidRDefault="009A4EB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</w:rPr>
              <w:t>Political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groups</w:t>
            </w:r>
            <w:proofErr w:type="spellEnd"/>
          </w:p>
        </w:tc>
      </w:tr>
      <w:tr w:rsidR="00CB164A">
        <w:trPr>
          <w:trHeight w:val="194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CB164A" w:rsidRDefault="009A4EB0">
            <w:pPr>
              <w:numPr>
                <w:ilvl w:val="0"/>
                <w:numId w:val="3"/>
              </w:numPr>
              <w:spacing w:after="2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Press release by the EPP group: </w:t>
            </w:r>
            <w:hyperlink r:id="rId17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http://bit.ly/2nrJ2LR</w:t>
              </w:r>
            </w:hyperlink>
          </w:p>
          <w:p w:rsidR="00CB164A" w:rsidRDefault="009A4EB0">
            <w:pPr>
              <w:numPr>
                <w:ilvl w:val="0"/>
                <w:numId w:val="3"/>
              </w:numPr>
              <w:spacing w:after="2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Press release by the S&amp;D group: </w:t>
            </w:r>
            <w:hyperlink r:id="rId18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http://bit.ly/2nmyyka</w:t>
              </w:r>
            </w:hyperlink>
          </w:p>
          <w:p w:rsidR="00CB164A" w:rsidRDefault="009A4EB0">
            <w:pPr>
              <w:numPr>
                <w:ilvl w:val="0"/>
                <w:numId w:val="3"/>
              </w:numPr>
              <w:spacing w:after="2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News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of the ECR group: </w:t>
            </w:r>
            <w:hyperlink r:id="rId19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http://bit.ly/1Y0YFrj</w:t>
              </w:r>
            </w:hyperlink>
          </w:p>
          <w:p w:rsidR="00CB164A" w:rsidRDefault="009A4EB0">
            <w:pPr>
              <w:numPr>
                <w:ilvl w:val="0"/>
                <w:numId w:val="3"/>
              </w:numPr>
              <w:spacing w:after="2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News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of the ALDE group: </w:t>
            </w:r>
            <w:hyperlink r:id="rId20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http://bit.ly/2ikk6qK</w:t>
              </w:r>
            </w:hyperlink>
          </w:p>
          <w:p w:rsidR="00CB164A" w:rsidRDefault="009A4EB0">
            <w:pPr>
              <w:numPr>
                <w:ilvl w:val="0"/>
                <w:numId w:val="3"/>
              </w:numPr>
              <w:spacing w:after="2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News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of the GUE/NGL group: </w:t>
            </w:r>
            <w:hyperlink r:id="rId21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http://bit.ly/1UrAlM9</w:t>
              </w:r>
            </w:hyperlink>
          </w:p>
          <w:p w:rsidR="00CB164A" w:rsidRDefault="009A4EB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•</w:t>
            </w:r>
          </w:p>
          <w:p w:rsidR="00CB164A" w:rsidRDefault="009A4EB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8"/>
              </w:rPr>
              <w:t xml:space="preserve">News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Greens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/EFA group: </w:t>
            </w:r>
            <w:hyperlink r:id="rId22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http://bit.ly/2m6JiBA</w:t>
              </w:r>
            </w:hyperlink>
          </w:p>
          <w:p w:rsidR="00CB164A" w:rsidRDefault="009A4EB0">
            <w:pPr>
              <w:numPr>
                <w:ilvl w:val="0"/>
                <w:numId w:val="3"/>
              </w:numPr>
              <w:spacing w:after="2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News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of the EFDD group: </w:t>
            </w:r>
            <w:hyperlink r:id="rId23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http://bit.ly/1TUnDFU</w:t>
              </w:r>
            </w:hyperlink>
          </w:p>
          <w:p w:rsidR="00CB164A" w:rsidRDefault="009A4EB0">
            <w:pPr>
              <w:numPr>
                <w:ilvl w:val="0"/>
                <w:numId w:val="3"/>
              </w:numPr>
              <w:spacing w:after="0"/>
              <w:ind w:hanging="300"/>
            </w:pPr>
            <w:r>
              <w:rPr>
                <w:rFonts w:ascii="Arial" w:eastAsia="Arial" w:hAnsi="Arial" w:cs="Arial"/>
                <w:sz w:val="18"/>
              </w:rPr>
              <w:t xml:space="preserve">News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of the ENF group: </w:t>
            </w:r>
            <w:hyperlink r:id="rId24">
              <w:r>
                <w:rPr>
                  <w:rFonts w:ascii="Arial" w:eastAsia="Arial" w:hAnsi="Arial" w:cs="Arial"/>
                  <w:color w:val="0000FF"/>
                  <w:sz w:val="18"/>
                </w:rPr>
                <w:t>http://bit.ly/2cxzxcR</w:t>
              </w:r>
            </w:hyperlink>
          </w:p>
        </w:tc>
      </w:tr>
    </w:tbl>
    <w:p w:rsidR="00CB164A" w:rsidRDefault="009A4EB0">
      <w:pPr>
        <w:spacing w:after="0"/>
        <w:ind w:left="655" w:right="293" w:hanging="10"/>
        <w:jc w:val="both"/>
      </w:pPr>
      <w:proofErr w:type="spellStart"/>
      <w:r>
        <w:rPr>
          <w:rFonts w:ascii="Arial" w:eastAsia="Arial" w:hAnsi="Arial" w:cs="Arial"/>
          <w:b/>
        </w:rPr>
        <w:t>Contacts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/>
        <w:ind w:left="660"/>
      </w:pPr>
      <w:r>
        <w:rPr>
          <w:rFonts w:ascii="Arial" w:eastAsia="Arial" w:hAnsi="Arial" w:cs="Arial"/>
          <w:sz w:val="24"/>
        </w:rPr>
        <w:t xml:space="preserve"> </w:t>
      </w:r>
    </w:p>
    <w:p w:rsidR="00CB164A" w:rsidRDefault="009A4EB0">
      <w:pPr>
        <w:spacing w:after="0"/>
        <w:ind w:left="655" w:right="293" w:hanging="10"/>
        <w:jc w:val="both"/>
      </w:pPr>
      <w:proofErr w:type="spellStart"/>
      <w:r>
        <w:rPr>
          <w:rFonts w:ascii="Arial" w:eastAsia="Arial" w:hAnsi="Arial" w:cs="Arial"/>
          <w:b/>
        </w:rPr>
        <w:t>Baptiste</w:t>
      </w:r>
      <w:proofErr w:type="spellEnd"/>
      <w:r>
        <w:rPr>
          <w:rFonts w:ascii="Arial" w:eastAsia="Arial" w:hAnsi="Arial" w:cs="Arial"/>
          <w:b/>
        </w:rPr>
        <w:t xml:space="preserve"> CHATAIN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Press </w:t>
      </w:r>
      <w:proofErr w:type="spellStart"/>
      <w:r>
        <w:rPr>
          <w:rFonts w:ascii="Arial" w:eastAsia="Arial" w:hAnsi="Arial" w:cs="Arial"/>
        </w:rPr>
        <w:t>Officer</w:t>
      </w:r>
      <w:proofErr w:type="spellEnd"/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Telephone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>: (+32) 2 28 40992 (BXL)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Telephone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>: (+33) 3 881 74151 (STR)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Mobile </w:t>
      </w:r>
      <w:proofErr w:type="spellStart"/>
      <w:r>
        <w:rPr>
          <w:rFonts w:ascii="Arial" w:eastAsia="Arial" w:hAnsi="Arial" w:cs="Arial"/>
        </w:rPr>
        <w:t>number</w:t>
      </w:r>
      <w:proofErr w:type="spellEnd"/>
      <w:r>
        <w:rPr>
          <w:rFonts w:ascii="Arial" w:eastAsia="Arial" w:hAnsi="Arial" w:cs="Arial"/>
        </w:rPr>
        <w:t>: (+32) 498 98 13 37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>Email: baptiste.chatain@europarl.europa.eu</w:t>
      </w:r>
    </w:p>
    <w:p w:rsidR="00CB164A" w:rsidRDefault="009A4EB0">
      <w:pPr>
        <w:spacing w:after="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>Email: envi-press@europarl.europa.eu</w:t>
      </w:r>
    </w:p>
    <w:p w:rsidR="00CB164A" w:rsidRDefault="009A4EB0">
      <w:pPr>
        <w:spacing w:after="4460" w:line="265" w:lineRule="auto"/>
        <w:ind w:left="655" w:right="293" w:hanging="10"/>
        <w:jc w:val="both"/>
      </w:pPr>
      <w:r>
        <w:rPr>
          <w:rFonts w:ascii="Arial" w:eastAsia="Arial" w:hAnsi="Arial" w:cs="Arial"/>
        </w:rPr>
        <w:t xml:space="preserve">Twitter: </w:t>
      </w:r>
      <w:proofErr w:type="spellStart"/>
      <w:r>
        <w:rPr>
          <w:rFonts w:ascii="Arial" w:eastAsia="Arial" w:hAnsi="Arial" w:cs="Arial"/>
        </w:rPr>
        <w:t>EP_Environment</w:t>
      </w:r>
      <w:proofErr w:type="spellEnd"/>
    </w:p>
    <w:p w:rsidR="00CB164A" w:rsidRDefault="009A4EB0">
      <w:pPr>
        <w:spacing w:after="11"/>
        <w:ind w:left="-48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515100" cy="6350"/>
                <wp:effectExtent l="0" t="0" r="0" b="0"/>
                <wp:docPr id="2256" name="Group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350"/>
                          <a:chOff x="0" y="0"/>
                          <a:chExt cx="6515100" cy="6350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919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6" style="width:513pt;height:0.5pt;mso-position-horizontal-relative:char;mso-position-vertical-relative:line" coordsize="65151,63">
                <v:shape id="Shape 194" style="position:absolute;width:65151;height:0;left:0;top:0;" coordsize="6515100,0" path="m0,0l6515100,0">
                  <v:stroke weight="0.5pt" endcap="flat" joinstyle="miter" miterlimit="10" on="true" color="#691940"/>
                  <v:fill on="false" color="#000000" opacity="0"/>
                </v:shape>
              </v:group>
            </w:pict>
          </mc:Fallback>
        </mc:AlternateContent>
      </w:r>
    </w:p>
    <w:p w:rsidR="00CB164A" w:rsidRDefault="009A4EB0">
      <w:pPr>
        <w:spacing w:after="0"/>
        <w:jc w:val="right"/>
      </w:pPr>
      <w:r>
        <w:rPr>
          <w:rFonts w:ascii="Arial" w:eastAsia="Arial" w:hAnsi="Arial" w:cs="Arial"/>
          <w:sz w:val="12"/>
        </w:rPr>
        <w:t>20170308IPR65670 - 2/2</w:t>
      </w:r>
    </w:p>
    <w:sectPr w:rsidR="00CB164A">
      <w:pgSz w:w="11900" w:h="16840"/>
      <w:pgMar w:top="141" w:right="812" w:bottom="32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1612"/>
    <w:multiLevelType w:val="hybridMultilevel"/>
    <w:tmpl w:val="D80AB29E"/>
    <w:lvl w:ilvl="0" w:tplc="DCEE22A2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20BC5C">
      <w:start w:val="1"/>
      <w:numFmt w:val="bullet"/>
      <w:lvlText w:val="o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888FF8">
      <w:start w:val="1"/>
      <w:numFmt w:val="bullet"/>
      <w:lvlText w:val="▪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C258B2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F4C93C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1CF55C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16F62A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483766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1A4A4C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5820FF"/>
    <w:multiLevelType w:val="hybridMultilevel"/>
    <w:tmpl w:val="2170458C"/>
    <w:lvl w:ilvl="0" w:tplc="56D0DAE2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E9AFC">
      <w:start w:val="1"/>
      <w:numFmt w:val="bullet"/>
      <w:lvlText w:val="o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4E416">
      <w:start w:val="1"/>
      <w:numFmt w:val="bullet"/>
      <w:lvlText w:val="▪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6766A">
      <w:start w:val="1"/>
      <w:numFmt w:val="bullet"/>
      <w:lvlText w:val="•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0303C">
      <w:start w:val="1"/>
      <w:numFmt w:val="bullet"/>
      <w:lvlText w:val="o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E5416">
      <w:start w:val="1"/>
      <w:numFmt w:val="bullet"/>
      <w:lvlText w:val="▪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DA46">
      <w:start w:val="1"/>
      <w:numFmt w:val="bullet"/>
      <w:lvlText w:val="•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A8A2C">
      <w:start w:val="1"/>
      <w:numFmt w:val="bullet"/>
      <w:lvlText w:val="o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81666">
      <w:start w:val="1"/>
      <w:numFmt w:val="bullet"/>
      <w:lvlText w:val="▪"/>
      <w:lvlJc w:val="left"/>
      <w:pPr>
        <w:ind w:left="7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B06404"/>
    <w:multiLevelType w:val="hybridMultilevel"/>
    <w:tmpl w:val="5A92E57C"/>
    <w:lvl w:ilvl="0" w:tplc="8C3C7FF0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C30E6">
      <w:start w:val="1"/>
      <w:numFmt w:val="bullet"/>
      <w:lvlText w:val="o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D41E06">
      <w:start w:val="1"/>
      <w:numFmt w:val="bullet"/>
      <w:lvlText w:val="▪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18BF92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8AC144">
      <w:start w:val="1"/>
      <w:numFmt w:val="bullet"/>
      <w:lvlText w:val="o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9A44C2">
      <w:start w:val="1"/>
      <w:numFmt w:val="bullet"/>
      <w:lvlText w:val="▪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94FD6C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F22808">
      <w:start w:val="1"/>
      <w:numFmt w:val="bullet"/>
      <w:lvlText w:val="o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FEE12E">
      <w:start w:val="1"/>
      <w:numFmt w:val="bullet"/>
      <w:lvlText w:val="▪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4A"/>
    <w:rsid w:val="009A4EB0"/>
    <w:rsid w:val="00C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7EDA9-D611-4260-A625-479D5896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551"/>
      <w:outlineLvl w:val="0"/>
    </w:pPr>
    <w:rPr>
      <w:rFonts w:ascii="Arial" w:eastAsia="Arial" w:hAnsi="Arial" w:cs="Arial"/>
      <w:b/>
      <w:color w:val="6685B3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6685B3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en/texts-adopted.html" TargetMode="External"/><Relationship Id="rId13" Type="http://schemas.openxmlformats.org/officeDocument/2006/relationships/hyperlink" Target="http://ec.europa.eu/avservices/ebs/schedule.cfm?sitelang=en&amp;page=3&amp;institution=0&amp;date=03/14/2017" TargetMode="External"/><Relationship Id="rId18" Type="http://schemas.openxmlformats.org/officeDocument/2006/relationships/hyperlink" Target="http://bit.ly/2nmyyk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t.ly/1UrAlM9" TargetMode="External"/><Relationship Id="rId7" Type="http://schemas.openxmlformats.org/officeDocument/2006/relationships/hyperlink" Target="http://www.europarl.europa.eu/meps/en/97014.html" TargetMode="External"/><Relationship Id="rId12" Type="http://schemas.openxmlformats.org/officeDocument/2006/relationships/hyperlink" Target="http://www.europarl.europa.eu/ep-live/en/other-events/schedule" TargetMode="External"/><Relationship Id="rId17" Type="http://schemas.openxmlformats.org/officeDocument/2006/relationships/hyperlink" Target="http://bit.ly/2nrJ2L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udiovisual.europarl.europa.eu/food-safety" TargetMode="External"/><Relationship Id="rId20" Type="http://schemas.openxmlformats.org/officeDocument/2006/relationships/hyperlink" Target="http://bit.ly/2ikk6q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uroparl.europa.eu/oeil/popups/ficheprocedure.do?reference=2013/0140(COD)&amp;l=en" TargetMode="External"/><Relationship Id="rId11" Type="http://schemas.openxmlformats.org/officeDocument/2006/relationships/hyperlink" Target="http://www.europarl.europa.eu/ep-live/en/other-events/schedule" TargetMode="External"/><Relationship Id="rId24" Type="http://schemas.openxmlformats.org/officeDocument/2006/relationships/hyperlink" Target="http://bit.ly/2cxzxcR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europarl.europa.eu/RegData/bibliotheque/briefing/2014/130679/LDM_BRI%282014%29130679_REV1_EN.pdf" TargetMode="External"/><Relationship Id="rId23" Type="http://schemas.openxmlformats.org/officeDocument/2006/relationships/hyperlink" Target="http://bit.ly/1TUnDFU" TargetMode="External"/><Relationship Id="rId10" Type="http://schemas.openxmlformats.org/officeDocument/2006/relationships/hyperlink" Target="http://www.europarl.europa.eu/ep-live/en/plenary/search-by-date" TargetMode="External"/><Relationship Id="rId19" Type="http://schemas.openxmlformats.org/officeDocument/2006/relationships/hyperlink" Target="http://bit.ly/1Y0YFr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arl.europa.eu/ep-live/en/plenary/search-by-date" TargetMode="External"/><Relationship Id="rId14" Type="http://schemas.openxmlformats.org/officeDocument/2006/relationships/hyperlink" Target="http://www.europarl.europa.eu/RegData/bibliotheque/briefing/2014/130679/LDM_BRI%282014%29130679_REV1_EN.pdf" TargetMode="External"/><Relationship Id="rId22" Type="http://schemas.openxmlformats.org/officeDocument/2006/relationships/hyperlink" Target="http://bit.ly/2m6Ji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20170308IPR65670_en.pdf</dc:title>
  <dc:subject>Tougher food inspections from farm to fork</dc:subject>
  <dc:creator>www.europarl.eu</dc:creator>
  <cp:keywords/>
  <cp:lastModifiedBy>Carmy Cimino</cp:lastModifiedBy>
  <cp:revision>2</cp:revision>
  <dcterms:created xsi:type="dcterms:W3CDTF">2017-03-20T23:25:00Z</dcterms:created>
  <dcterms:modified xsi:type="dcterms:W3CDTF">2017-03-20T23:25:00Z</dcterms:modified>
</cp:coreProperties>
</file>